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23D97" w14:textId="4EACF7E4" w:rsidR="00814B47" w:rsidRDefault="00814B47">
      <w:pPr>
        <w:pStyle w:val="Title"/>
        <w:rPr>
          <w:rFonts w:asciiTheme="minorHAnsi" w:hAnsiTheme="minorHAnsi" w:cstheme="minorHAnsi"/>
          <w:sz w:val="22"/>
          <w:szCs w:val="22"/>
        </w:rPr>
      </w:pPr>
    </w:p>
    <w:p w14:paraId="2AF28EE4" w14:textId="77777777" w:rsidR="00814B47" w:rsidRDefault="00C9247B">
      <w:pPr>
        <w:jc w:val="center"/>
        <w:rPr>
          <w:b/>
          <w:bCs/>
        </w:rPr>
      </w:pPr>
      <w:r>
        <w:rPr>
          <w:b/>
          <w:bCs/>
        </w:rPr>
        <w:t>GENERAL TERMS AND CONDITIONS FOR USE OF THE bscl.bg WEBSITE AND FOR ONLINE PAYMENTS BY BANK CARD</w:t>
      </w:r>
    </w:p>
    <w:p w14:paraId="44A5042E" w14:textId="77777777" w:rsidR="00814B47" w:rsidRDefault="00C9247B">
      <w:pPr>
        <w:rPr>
          <w:b/>
          <w:bCs/>
        </w:rPr>
      </w:pPr>
      <w:r>
        <w:rPr>
          <w:b/>
          <w:bCs/>
        </w:rPr>
        <w:t>Please read carefully these General Terms and Conditions for use of the bscl.bg website and for online payments by bank card (the “General Terms and Conditions”), as well as the Association’s Privacy Notice, before using the Website or placing an Order. Where the Order relates to participation in an event, the Event Terms of the relevant event also apply to it. Before confirming the Order, you will be asked to indicate, in separate boxes, that you accept the General Terms and Conditions and the Event Terms (where applicable) and that you have read the Privacy Notice, and to press the button “Order with an obligation to pay” or another equivalent button (Clauses 3a.2 and 5.1). Upon making this indication, you are deemed to have read the General Terms and Conditions and the Event Terms, to accept them and to undertake to comply with them.</w:t>
      </w:r>
    </w:p>
    <w:p w14:paraId="1ED4A939" w14:textId="77777777" w:rsidR="00814B47" w:rsidRDefault="00C9247B">
      <w:pPr>
        <w:rPr>
          <w:b/>
          <w:bCs/>
        </w:rPr>
      </w:pPr>
      <w:r>
        <w:rPr>
          <w:b/>
          <w:bCs/>
        </w:rPr>
        <w:t>Section I. General Provisions and Information about the Association</w:t>
      </w:r>
    </w:p>
    <w:p w14:paraId="4337A7EE" w14:textId="77777777" w:rsidR="00814B47" w:rsidRDefault="00C9247B">
      <w:r>
        <w:rPr>
          <w:b/>
          <w:bCs/>
        </w:rPr>
        <w:t>1.1.</w:t>
      </w:r>
      <w:r>
        <w:t xml:space="preserve"> These General Terms and Conditions govern the relationship between the Bulgarian Society of Construction Law Association (hereinafter the “Association” or “BSCL”) and any person (hereinafter the “User”) who uses the website https://bscl.bg (referred to in these General Terms and Conditions as the “Website”) and/or pays through </w:t>
      </w:r>
      <w:proofErr w:type="spellStart"/>
      <w:r>
        <w:t>it</w:t>
      </w:r>
      <w:proofErr w:type="spellEnd"/>
      <w:r>
        <w:t xml:space="preserve"> membership fees, fees for participation in conferences, seminars and other events, or other services offered by the Association (hereinafter the “Services”).</w:t>
      </w:r>
    </w:p>
    <w:p w14:paraId="16899D13" w14:textId="77777777" w:rsidR="00814B47" w:rsidRDefault="00C9247B">
      <w:r>
        <w:rPr>
          <w:b/>
          <w:bCs/>
        </w:rPr>
        <w:t>1.2.</w:t>
      </w:r>
      <w:r>
        <w:t xml:space="preserve"> Information under Article 4 of the Electronic Commerce Act and Article 47 of the Consumer Protection Act:</w:t>
      </w:r>
    </w:p>
    <w:p w14:paraId="6999F0AA" w14:textId="77777777" w:rsidR="00814B47" w:rsidRDefault="00C9247B">
      <w:r>
        <w:t>• Name: Bulgarian Society of Construction Law Association, a non-profit legal entity registered with the Non-Profit Legal Entities Register at the Registry Agency;</w:t>
      </w:r>
    </w:p>
    <w:p w14:paraId="77E26416" w14:textId="77777777" w:rsidR="00814B47" w:rsidRDefault="00C9247B">
      <w:r>
        <w:t>• UIC: 176873823;</w:t>
      </w:r>
    </w:p>
    <w:p w14:paraId="50603C55" w14:textId="77777777" w:rsidR="00814B47" w:rsidRDefault="00C9247B">
      <w:r>
        <w:t xml:space="preserve">• Registered office and management address: 1 Hristo </w:t>
      </w:r>
      <w:proofErr w:type="spellStart"/>
      <w:r>
        <w:t>Smirnenski</w:t>
      </w:r>
      <w:proofErr w:type="spellEnd"/>
      <w:r>
        <w:t xml:space="preserve"> Blvd., Building B, 10th floor, office 1038, </w:t>
      </w:r>
      <w:proofErr w:type="spellStart"/>
      <w:r>
        <w:t>Lozenets</w:t>
      </w:r>
      <w:proofErr w:type="spellEnd"/>
      <w:r>
        <w:t xml:space="preserve"> District, 1164 Sofia;</w:t>
      </w:r>
    </w:p>
    <w:p w14:paraId="32F1C20B" w14:textId="77777777" w:rsidR="00814B47" w:rsidRDefault="00C9247B">
      <w:r>
        <w:t>• Address for correspondence and for filing complaints: 9 Hristo Belchev Str., 2nd floor (above the ground floor), Sofia;</w:t>
      </w:r>
    </w:p>
    <w:p w14:paraId="68FF8459" w14:textId="77777777" w:rsidR="00814B47" w:rsidRDefault="00C9247B">
      <w:r>
        <w:t>• E-mail: info@bscl.bg; telephone: +359 2 986 7907;</w:t>
      </w:r>
    </w:p>
    <w:p w14:paraId="396FFC2A" w14:textId="6AB890EA" w:rsidR="00814B47" w:rsidRDefault="00C9247B">
      <w:r>
        <w:t>• Legal representative: Victoria Penkova, Chair of the Management Board;</w:t>
      </w:r>
    </w:p>
    <w:p w14:paraId="5E5D2120" w14:textId="346628A7" w:rsidR="00814B47" w:rsidRDefault="00C9247B">
      <w:r>
        <w:t>• VAT identification number: BG176873823.</w:t>
      </w:r>
    </w:p>
    <w:p w14:paraId="486AFF65" w14:textId="77777777" w:rsidR="00814B47" w:rsidRDefault="00C9247B">
      <w:r>
        <w:rPr>
          <w:b/>
          <w:bCs/>
        </w:rPr>
        <w:t>1.3.</w:t>
      </w:r>
      <w:r>
        <w:t xml:space="preserve"> Supervisory authorities: Consumer Protection Commission (4A Slaveykov Square, 1000 Sofia, www.kzp.bg); Commission for Personal Data Protection (2 Prof. Tsvetan Lazarov Blvd., 1592 Sofia, www.cpdp.bg).</w:t>
      </w:r>
    </w:p>
    <w:p w14:paraId="1DABB200" w14:textId="77777777" w:rsidR="00814B47" w:rsidRDefault="00C9247B">
      <w:r>
        <w:rPr>
          <w:b/>
          <w:bCs/>
        </w:rPr>
        <w:t>1.4.</w:t>
      </w:r>
      <w:r>
        <w:t xml:space="preserve"> By using the Website and/or making a payment through it, the User declares that they have read these General Terms and Conditions, accept them, and undertake to comply with them. Where the User places an Order, the General Terms and Conditions are accepted expressly in accordance with Clause 3a.2. The General Terms and Conditions are available on the Website in a manner that allows their storage and reproduction.</w:t>
      </w:r>
    </w:p>
    <w:p w14:paraId="5F311759" w14:textId="77777777" w:rsidR="00814B47" w:rsidRDefault="00C9247B">
      <w:pPr>
        <w:rPr>
          <w:b/>
          <w:bCs/>
        </w:rPr>
      </w:pPr>
      <w:r>
        <w:rPr>
          <w:b/>
          <w:bCs/>
        </w:rPr>
        <w:lastRenderedPageBreak/>
        <w:t>Section II. Definitions</w:t>
      </w:r>
    </w:p>
    <w:p w14:paraId="05D33BE5" w14:textId="77777777" w:rsidR="00814B47" w:rsidRDefault="00C9247B">
      <w:r>
        <w:rPr>
          <w:b/>
          <w:bCs/>
        </w:rPr>
        <w:t>2.1.</w:t>
      </w:r>
      <w:r>
        <w:t xml:space="preserve"> “User” – any natural or legal person who uses the Website. Where a natural person concludes a contract outside the scope of their trade or professional activity, that person also has the status of “consumer” within the meaning of § 13(1), item 1 of the Additional Provisions of the Consumer Protection Act (CPA). A User who registers for participation in an event is a “Participant” within the meaning of the relevant Event Terms.</w:t>
      </w:r>
    </w:p>
    <w:p w14:paraId="31B4EC35" w14:textId="77777777" w:rsidR="00814B47" w:rsidRDefault="00C9247B">
      <w:r>
        <w:rPr>
          <w:b/>
          <w:bCs/>
        </w:rPr>
        <w:t>2.2.</w:t>
      </w:r>
      <w:r>
        <w:t xml:space="preserve"> “Order” – an electronic statement made by the User through the Website for payment of membership fees, registration for participation in an event, or request for another Service.</w:t>
      </w:r>
    </w:p>
    <w:p w14:paraId="7DA1AD46" w14:textId="77777777" w:rsidR="00814B47" w:rsidRDefault="00C9247B">
      <w:r>
        <w:rPr>
          <w:b/>
          <w:bCs/>
        </w:rPr>
        <w:t>2.3.</w:t>
      </w:r>
      <w:r>
        <w:t xml:space="preserve"> “Payment Service Provider” – UniCredit Bulbank AD, UIC 831919536, with registered office and management address at 7 Sveta Nedelya Square, </w:t>
      </w:r>
      <w:proofErr w:type="spellStart"/>
      <w:r>
        <w:t>Vazrazhdane</w:t>
      </w:r>
      <w:proofErr w:type="spellEnd"/>
      <w:r>
        <w:t xml:space="preserve"> District, Sofia, through whose virtual POS terminal bank card payments on the Website are processed.</w:t>
      </w:r>
    </w:p>
    <w:p w14:paraId="38CABB28" w14:textId="77777777" w:rsidR="00814B47" w:rsidRDefault="00C9247B">
      <w:r>
        <w:rPr>
          <w:b/>
          <w:bCs/>
        </w:rPr>
        <w:t>2.4.</w:t>
      </w:r>
      <w:r>
        <w:t xml:space="preserve"> “Cardholder” – the person in whose name the payment card used is issued.</w:t>
      </w:r>
    </w:p>
    <w:p w14:paraId="27EF57CC" w14:textId="77777777" w:rsidR="00814B47" w:rsidRDefault="00C9247B">
      <w:r>
        <w:rPr>
          <w:b/>
          <w:bCs/>
        </w:rPr>
        <w:t>2.5.</w:t>
      </w:r>
      <w:r>
        <w:t xml:space="preserve"> “Malicious Acts” are actions or omissions that violate Internet ethics or cause harm to persons connected to the Internet or associated networks, sending unsolicited mail (unsolicited commercial messages, SPAM, JUNK MAIL), overloading channels (FLOOD), gaining access to resources using others’ rights and passwords, exploiting system vulnerabilities for personal gain or to obtain information (HACK), carrying out acts that may be qualified as industrial espionage or sabotage, damaging or destroying systems or data sets (CRACK), sending “Trojan horses” or causing the installation of viruses or remote control systems, disrupting the normal operation of other users of the Internet and associated networks, or carrying out any acts that may be qualified as a crime or an administrative offence under Bulgarian law or other applicable law.</w:t>
      </w:r>
    </w:p>
    <w:p w14:paraId="1506B3A2" w14:textId="77777777" w:rsidR="00814B47" w:rsidRDefault="00C9247B">
      <w:r>
        <w:rPr>
          <w:b/>
          <w:bCs/>
        </w:rPr>
        <w:t>2.6.</w:t>
      </w:r>
      <w:r>
        <w:t xml:space="preserve"> “Web page” is a part of a website, which may be composite or separate.</w:t>
      </w:r>
    </w:p>
    <w:p w14:paraId="0971B8F0" w14:textId="77777777" w:rsidR="00814B47" w:rsidRDefault="00C9247B">
      <w:r>
        <w:rPr>
          <w:b/>
          <w:bCs/>
        </w:rPr>
        <w:t>2.7.</w:t>
      </w:r>
      <w:r>
        <w:t xml:space="preserve"> “Information system/System” is any individual device or set of interconnected or similar devices which, in performing a given program, provides, or constitutes one of the elements providing, automatic data processing.</w:t>
      </w:r>
    </w:p>
    <w:p w14:paraId="3BA5E301" w14:textId="77777777" w:rsidR="00814B47" w:rsidRDefault="00C9247B">
      <w:r>
        <w:rPr>
          <w:b/>
          <w:bCs/>
        </w:rPr>
        <w:t>2.8.</w:t>
      </w:r>
      <w:r>
        <w:t xml:space="preserve"> “Website” is a distinct location on the global Internet network, accessible through its uniform address (URL) via the HTTP, HTTPS or another standardised protocol, containing files, text, programs (software), sounds, photographs, images, hyperlinks or other materials and resources.</w:t>
      </w:r>
    </w:p>
    <w:p w14:paraId="6D46C1CC" w14:textId="77777777" w:rsidR="00814B47" w:rsidRDefault="00C9247B">
      <w:r>
        <w:rPr>
          <w:b/>
          <w:bCs/>
        </w:rPr>
        <w:t>2.9.</w:t>
      </w:r>
      <w:r>
        <w:t xml:space="preserve"> “Event Terms” means the terms and conditions for registration for and participation in a specific event organised by the Association (such as the Terms and Conditions of the 2nd Eastern European Regional Conference “Construction Across Borders”), published on the page of the relevant event on the Website and accepted by the User upon registration for the event.</w:t>
      </w:r>
    </w:p>
    <w:p w14:paraId="0E4F7B0D" w14:textId="77777777" w:rsidR="00814B47" w:rsidRDefault="00C9247B">
      <w:r>
        <w:rPr>
          <w:b/>
          <w:bCs/>
        </w:rPr>
        <w:t>2.10.</w:t>
      </w:r>
      <w:r>
        <w:t xml:space="preserve"> “Privacy Notice” means the Association’s privacy notice published on the Website, which explains how the Association collects, uses, stores, discloses, and otherwise processes personal data in connection with the organisation and conduct of training sessions, seminars, webinars, conferences, professional events, and related services, in accordance with the General Data Protection Regulation (EU) 2016/679 (“GDPR”), the Bulgarian Personal Data Protection Act and applicable Bulgarian and European data protection laws.</w:t>
      </w:r>
    </w:p>
    <w:p w14:paraId="3DF1222D" w14:textId="77777777" w:rsidR="00814B47" w:rsidRDefault="00C9247B">
      <w:pPr>
        <w:rPr>
          <w:b/>
          <w:bCs/>
        </w:rPr>
      </w:pPr>
      <w:r>
        <w:rPr>
          <w:b/>
          <w:bCs/>
        </w:rPr>
        <w:t>Section III. Subject Matter and Services</w:t>
      </w:r>
    </w:p>
    <w:p w14:paraId="496CA5C2" w14:textId="77777777" w:rsidR="00814B47" w:rsidRDefault="00C9247B">
      <w:r>
        <w:rPr>
          <w:b/>
          <w:bCs/>
        </w:rPr>
        <w:t>3.1.</w:t>
      </w:r>
      <w:r>
        <w:t xml:space="preserve"> Through the Website, the Association provides information about its activities, publications and news, and enables Users to pay online: (a) the annual membership fee of the Association’s members; </w:t>
      </w:r>
      <w:r>
        <w:lastRenderedPageBreak/>
        <w:t>(b) fees for participation in conferences, seminars, webinars and other events organised or co-organised by the Association; (c) other services expressly specified on the Website.</w:t>
      </w:r>
    </w:p>
    <w:p w14:paraId="45891772" w14:textId="77777777" w:rsidR="00814B47" w:rsidRDefault="00C9247B">
      <w:r>
        <w:rPr>
          <w:b/>
          <w:bCs/>
        </w:rPr>
        <w:t>3.2.</w:t>
      </w:r>
      <w:r>
        <w:t xml:space="preserve"> Membership in the Association is acquired in accordance with the Association’s Articles of Association and the Non-Profit Legal Entities Act – by resolution of the Management Board upon the candidate’s written application. Online payment of the membership fee is made after the candidate has been admitted as a member, unless otherwise expressly stated on the Website.</w:t>
      </w:r>
    </w:p>
    <w:p w14:paraId="5CF2CEB6" w14:textId="77777777" w:rsidR="00814B47" w:rsidRDefault="00C9247B">
      <w:r>
        <w:rPr>
          <w:b/>
          <w:bCs/>
        </w:rPr>
        <w:t>3.3.</w:t>
      </w:r>
      <w:r>
        <w:t xml:space="preserve"> The main characteristics of each event (date, venue, programme, language, format – in person or online, what is included in the fee) are specified on the relevant page of the Website before the Order is placed. Participation in events is possible only following prior registration and payment of the relevant fee. Registration, payment of participation fees, cancellation of a registration, substitution of participants, changes to the programme, and the postponement and cancellation of an event are also governed by the relevant Event Terms (Clause 15.3).</w:t>
      </w:r>
    </w:p>
    <w:p w14:paraId="1C1E7D31" w14:textId="77777777" w:rsidR="00814B47" w:rsidRDefault="00C9247B">
      <w:r>
        <w:rPr>
          <w:b/>
          <w:bCs/>
        </w:rPr>
        <w:t>3.4.</w:t>
      </w:r>
      <w:r>
        <w:t xml:space="preserve"> The provision of the Services does not include the provision of computer and other client equipment (end devices for Internet access) and connectivity for the transfer of data packets between the User and the web page, necessary to achieve access to the Website. The Association shall not be liable if the User is unable to gain access due to problems outside the Association’s control (hardware, software, Internet connectivity problems, etc.).</w:t>
      </w:r>
    </w:p>
    <w:p w14:paraId="32988843" w14:textId="77777777" w:rsidR="00814B47" w:rsidRDefault="00C9247B">
      <w:r>
        <w:rPr>
          <w:b/>
          <w:bCs/>
        </w:rPr>
        <w:t>3.5.</w:t>
      </w:r>
      <w:r>
        <w:t xml:space="preserve"> The Services provided by the Association are diverse and continuously supplemented and modified with a view to their improvement and expansion, and the number, prices and characteristics of the relevant events and Services provided, as well as their terms of sale or, respectively, provision (free without registration, free subject to registration, or subject to registration and payment), may be changed by the Association at any time, without this affecting Orders already paid for (Clause 4.2).</w:t>
      </w:r>
    </w:p>
    <w:p w14:paraId="29918D27" w14:textId="77777777" w:rsidR="00814B47" w:rsidRDefault="00C9247B">
      <w:pPr>
        <w:rPr>
          <w:b/>
          <w:bCs/>
        </w:rPr>
      </w:pPr>
      <w:r>
        <w:rPr>
          <w:b/>
          <w:bCs/>
        </w:rPr>
        <w:t>Section IIIa. Acceptance of the General Terms and Conditions</w:t>
      </w:r>
    </w:p>
    <w:p w14:paraId="01BBC92D" w14:textId="77777777" w:rsidR="00814B47" w:rsidRDefault="00C9247B">
      <w:r>
        <w:rPr>
          <w:b/>
          <w:bCs/>
        </w:rPr>
        <w:t>3a.1.</w:t>
      </w:r>
      <w:r>
        <w:t xml:space="preserve"> With each use of the information services and resources on the Website, including by opening a web page of the Website, as well as by clicking on a hyperlink (link) from any web page on the Website, the User is deemed to have read these General Terms and Conditions, to agree with them, and to undertake to comply with them. If the User does not agree with any of the requirements set out in these General Terms and Conditions, the User should not use any of the Services and should leave the Website immediately.</w:t>
      </w:r>
    </w:p>
    <w:p w14:paraId="5DFFBB59" w14:textId="77777777" w:rsidR="00814B47" w:rsidRDefault="00C9247B">
      <w:r>
        <w:rPr>
          <w:b/>
          <w:bCs/>
        </w:rPr>
        <w:t>3a.2.</w:t>
      </w:r>
      <w:r>
        <w:t xml:space="preserve"> When the User places an Order through the Website, before confirming it the User ticks the following mandatory boxes: (a) where the Order relates to an event, the box “I confirm that I have read and accept the Terms and Conditions of the relevant event”; (b) the box “I have read and accept the General Terms and Conditions for use of the bscl.bg website and for online payments by bank card”; and (c) the box “I have read and understood the Privacy Notice and acknowledge the processing of my personal data for conference registration and administration purposes”, and presses the button “Order with an obligation to pay” or another equivalent button (Clause 5.1(5)). At their discretion, the User may also tick the following optional boxes: (d) consent to the use of photographs and video recordings taken during the event in which the User may appear for the Association’s reporting, educational and promotional activities, including on its website, in publications and on social media; and (e) consent to the User’s name, organisation and country being included in the list of participants circulated to attendees. By ticking the boxes under (a) to (c), the User makes an express electronic statement within the meaning of the Electronic Document and Electronic Trust Services Act (EDETSA), declaring that they have read the said documents, accept the General Terms and Conditions and the Event Terms, and undertake to comply with them. Ticking the box under (c) only confirms that the User has been provided with information on the processing of their personal data and does not constitute consent to the </w:t>
      </w:r>
      <w:r>
        <w:lastRenderedPageBreak/>
        <w:t>processing of personal data. Upon its recording on an appropriate medium on the server used by the Association, through a generally accepted technical conversion standard enabling its reproduction, the electronic statement acquires the status of an electronic document within the meaning of EDETSA.</w:t>
      </w:r>
    </w:p>
    <w:p w14:paraId="66917333" w14:textId="77777777" w:rsidR="00814B47" w:rsidRDefault="00C9247B">
      <w:r>
        <w:rPr>
          <w:b/>
          <w:bCs/>
        </w:rPr>
        <w:t>3a.3.</w:t>
      </w:r>
      <w:r>
        <w:t xml:space="preserve"> The consents under Clause 3a.2(d) and (e), as well as any other consent that the User may give at their discretion (e.g. to receive commercial communications), are expressed through separate, unticked boxes, are not a condition for placing an Order or for participating in the </w:t>
      </w:r>
      <w:proofErr w:type="gramStart"/>
      <w:r>
        <w:t>event, and</w:t>
      </w:r>
      <w:proofErr w:type="gramEnd"/>
      <w:r>
        <w:t xml:space="preserve"> may be withdrawn at any time by e-mail to info@bscl.bg. Withdrawal takes effect for the future and does not affect the lawfulness of use before withdrawal. The consents under Clause 3a.2(d) and (e) are also governed by the relevant Event Terms (for the conference – Clauses 10.3 and 10.4).</w:t>
      </w:r>
    </w:p>
    <w:p w14:paraId="31F17C66" w14:textId="77777777" w:rsidR="00814B47" w:rsidRDefault="00C9247B">
      <w:r>
        <w:rPr>
          <w:b/>
          <w:bCs/>
        </w:rPr>
        <w:t>3a.4.</w:t>
      </w:r>
      <w:r>
        <w:t xml:space="preserve"> By accepting the General Terms and Conditions, the User agrees that communication with them in connection with the Order and the Services provided will be carried out electronically, including by e-mail, and that they will be the recipient of electronic statements from the Association, including statements that are automatically generated and/or sent via the Website by e-mail, text messages (SMS), or otherwise. Commercial communications are sent only subject to Clause 11.1(c) and the Privacy Notice.</w:t>
      </w:r>
    </w:p>
    <w:p w14:paraId="238E0F19" w14:textId="77777777" w:rsidR="00814B47" w:rsidRDefault="00C9247B">
      <w:r>
        <w:rPr>
          <w:b/>
          <w:bCs/>
        </w:rPr>
        <w:t>3a.5.</w:t>
      </w:r>
      <w:r>
        <w:t xml:space="preserve"> The Association may store in log files on its server the User’s IP address, as well as any other information necessary to identify the User and reproduce their electronic statement accepting the General Terms and Conditions and the Event Terms, as well as for making other electronic statements, in the event of a legal dispute. Such data are processed in accordance with the Privacy Notice.</w:t>
      </w:r>
    </w:p>
    <w:p w14:paraId="50D22539" w14:textId="77777777" w:rsidR="00814B47" w:rsidRDefault="00C9247B">
      <w:r>
        <w:rPr>
          <w:b/>
          <w:bCs/>
        </w:rPr>
        <w:t>3a.6.</w:t>
      </w:r>
      <w:r>
        <w:t xml:space="preserve"> </w:t>
      </w:r>
      <w:proofErr w:type="gramStart"/>
      <w:r>
        <w:t>In order to</w:t>
      </w:r>
      <w:proofErr w:type="gramEnd"/>
      <w:r>
        <w:t xml:space="preserve"> place a valid Order, the User must complete the relevant electronic form, available in real time (online) on the Website, and accept the General Terms and Conditions in the manner described in Clause 3a.2.</w:t>
      </w:r>
    </w:p>
    <w:p w14:paraId="709CCF12" w14:textId="77777777" w:rsidR="00814B47" w:rsidRDefault="00C9247B">
      <w:r>
        <w:rPr>
          <w:b/>
          <w:bCs/>
        </w:rPr>
        <w:t>3a.7.</w:t>
      </w:r>
      <w:r>
        <w:t xml:space="preserve"> The User must complete all fields marked as mandatory in the relevant electronic form for requesting Services. When completing the electronic form, the User is obliged to provide complete and accurate identification data about themselves, as well as any other information marked as mandatory to provide in the form. In the event of failure to provide the data required and marked as mandatory in the relevant electronic form, or of providing false data, the Association shall have the right to refuse to process and/or fulfil the Order submitted by the User, to refuse the registration of the relevant User for an event, or to terminate or suspend the provision of the Services immediately and without notice, in which cases any amount paid for the Service not provided shall be refunded in accordance with Clause 6.7.</w:t>
      </w:r>
    </w:p>
    <w:p w14:paraId="5D00C831" w14:textId="77777777" w:rsidR="00814B47" w:rsidRDefault="00C9247B">
      <w:pPr>
        <w:rPr>
          <w:b/>
          <w:bCs/>
        </w:rPr>
      </w:pPr>
      <w:r>
        <w:rPr>
          <w:b/>
          <w:bCs/>
        </w:rPr>
        <w:t>Section IV. Prices</w:t>
      </w:r>
    </w:p>
    <w:p w14:paraId="442E4608" w14:textId="77777777" w:rsidR="00814B47" w:rsidRDefault="00C9247B">
      <w:r>
        <w:rPr>
          <w:b/>
          <w:bCs/>
        </w:rPr>
        <w:t>4.1.</w:t>
      </w:r>
      <w:r>
        <w:t xml:space="preserve"> The prices of the Services are stated on the Website in euro (EUR), are final and include VAT where VAT is due. Fees for participation in events, including early rates and reduced rates for members, and the conditions for their application, are set out in the relevant Event Terms. As of the date of these General Terms and Conditions, the amount of the membership fee has been determined by resolution of the General Meeting of the Association and is published in the “Membership” section of the Website.</w:t>
      </w:r>
    </w:p>
    <w:p w14:paraId="65F98018" w14:textId="77777777" w:rsidR="00814B47" w:rsidRDefault="00C9247B">
      <w:r>
        <w:rPr>
          <w:b/>
          <w:bCs/>
        </w:rPr>
        <w:t>4.2.</w:t>
      </w:r>
      <w:r>
        <w:t xml:space="preserve"> The Association reserves the right to change the prices. Such a change shall not affect Orders for which payment was made before the change.</w:t>
      </w:r>
    </w:p>
    <w:p w14:paraId="2ABCE840" w14:textId="77777777" w:rsidR="00814B47" w:rsidRDefault="00C9247B">
      <w:r>
        <w:rPr>
          <w:b/>
          <w:bCs/>
        </w:rPr>
        <w:t>4.3.</w:t>
      </w:r>
      <w:r>
        <w:t xml:space="preserve"> The Association does not charge any additional fees for payment by bank card. Any fees charged to the Cardholder by the card-issuing bank under the agreement between them (e.g. for currency conversion) shall be borne by the Cardholder. In the case of payment by bank transfer, the charges of the payer’s bank and of any intermediary banks shall be borne by the User, who shall transfer the full amount due.</w:t>
      </w:r>
    </w:p>
    <w:p w14:paraId="1ED8A457" w14:textId="77777777" w:rsidR="00814B47" w:rsidRDefault="00C9247B">
      <w:pPr>
        <w:rPr>
          <w:b/>
          <w:bCs/>
        </w:rPr>
      </w:pPr>
      <w:r>
        <w:rPr>
          <w:b/>
          <w:bCs/>
        </w:rPr>
        <w:lastRenderedPageBreak/>
        <w:t>Section V. Conclusion of a Contract through the Website</w:t>
      </w:r>
    </w:p>
    <w:p w14:paraId="0B2E7198" w14:textId="77777777" w:rsidR="00814B47" w:rsidRDefault="00C9247B">
      <w:r>
        <w:rPr>
          <w:b/>
          <w:bCs/>
        </w:rPr>
        <w:t>5.1.</w:t>
      </w:r>
      <w:r>
        <w:t xml:space="preserve"> The contract is concluded in Bulgarian or English, with the User: (1) selecting the Service; (2) completing the required data (name, organisation, e-mail, telephone, invoicing details if needed); (3) reviewing a summary of the Order with the ability to correct the entered data; (4) ticking the boxes under Clause 3a.2, thereby accepting these General Terms and Conditions and the Event Terms (where applicable) and confirming that they have read the Privacy Notice; (5) clicking the button “Order with an obligation to pay” or another equivalent button; (6) making the payment – by bank card upon submission of the Order, or by bank transfer within the time limit provided for in the relevant Event Terms.</w:t>
      </w:r>
    </w:p>
    <w:p w14:paraId="3F17D68F" w14:textId="77777777" w:rsidR="00814B47" w:rsidRDefault="00C9247B">
      <w:r>
        <w:rPr>
          <w:b/>
          <w:bCs/>
        </w:rPr>
        <w:t>5.2.</w:t>
      </w:r>
      <w:r>
        <w:t xml:space="preserve"> The Association confirms receipt of the Order by e-mail without undue delay. The contract is deemed concluded when the Association receives the full amount due in accordance with Clause 6.4. The Association sends the User confirmation of the concluded contract and of the payment to the e-mail address indicated by the User, attaching these General Terms and Conditions and the applicable Event Terms or otherwise providing them on a durable medium. The Association stores the data on the concluded contract and makes them available to the User upon request. A payment document (invoice or other accounting document) is issued in accordance with applicable law and the relevant Event Terms.</w:t>
      </w:r>
    </w:p>
    <w:p w14:paraId="23CBFE08" w14:textId="77777777" w:rsidR="00814B47" w:rsidRDefault="00C9247B">
      <w:pPr>
        <w:rPr>
          <w:b/>
          <w:bCs/>
        </w:rPr>
      </w:pPr>
      <w:r>
        <w:rPr>
          <w:b/>
          <w:bCs/>
        </w:rPr>
        <w:t>Section VI. Payment Methods and Payment by Bank Card</w:t>
      </w:r>
    </w:p>
    <w:p w14:paraId="2EA6CC97" w14:textId="77777777" w:rsidR="00814B47" w:rsidRDefault="00C9247B">
      <w:r>
        <w:rPr>
          <w:b/>
          <w:bCs/>
        </w:rPr>
        <w:t>6.1.</w:t>
      </w:r>
      <w:r>
        <w:t xml:space="preserve"> Payment for the Services may be made: (a) by debit, credit or prepaid card bearing the Visa, V PAY, Visa Electron, Mastercard, Maestro or Diners Club International brand through the virtual POS terminal of the Payment Service Provider; (b) by bank transfer to the Association’s account specified on the Website and in the relevant Event Terms.</w:t>
      </w:r>
    </w:p>
    <w:p w14:paraId="02A7A36A" w14:textId="77777777" w:rsidR="00814B47" w:rsidRDefault="00C9247B">
      <w:r>
        <w:rPr>
          <w:b/>
          <w:bCs/>
        </w:rPr>
        <w:t>6.2.</w:t>
      </w:r>
      <w:r>
        <w:t xml:space="preserve"> If card payment is selected, the User is redirected to a secure payment page of the Payment Service Provider, where they enter their card details. Payments are processed in real time, in euro.</w:t>
      </w:r>
    </w:p>
    <w:p w14:paraId="29911299" w14:textId="77777777" w:rsidR="00814B47" w:rsidRDefault="00C9247B">
      <w:r>
        <w:rPr>
          <w:b/>
          <w:bCs/>
        </w:rPr>
        <w:t>6.3.</w:t>
      </w:r>
      <w:r>
        <w:t xml:space="preserve"> Payment security: The Association does not receive, process or store Users’ bank card data (number, expiry date, CVV/CVC code). Such data is entered solely in the environment of the Payment Service Provider, which complies with the PCI DSS security standard. The connection is encrypted using the TLS protocol. Payments are made with strong customer authentication in accordance with the Payment Services and Payment Systems Act (PSPSA) – using the 3-D Secure protocol (Visa Secure, Mastercard Identity Check and the corresponding technologies of the other card schemes).</w:t>
      </w:r>
    </w:p>
    <w:p w14:paraId="47594127" w14:textId="77777777" w:rsidR="00814B47" w:rsidRDefault="00C9247B">
      <w:r>
        <w:rPr>
          <w:b/>
          <w:bCs/>
        </w:rPr>
        <w:t>6.4.</w:t>
      </w:r>
      <w:r>
        <w:t xml:space="preserve"> Payment is deemed made upon receipt of authorisation from the issuing bank. If authorisation is declined, the Order shall not be fulfilled, and the User shall be notified. In the case of payment by bank transfer, payment is deemed made when the Association’s account is credited with the full amount due.</w:t>
      </w:r>
    </w:p>
    <w:p w14:paraId="6AC0EED3" w14:textId="77777777" w:rsidR="00814B47" w:rsidRDefault="00C9247B">
      <w:r>
        <w:rPr>
          <w:b/>
          <w:bCs/>
        </w:rPr>
        <w:t>6.5.</w:t>
      </w:r>
      <w:r>
        <w:t xml:space="preserve"> The Association shall not be liable for failed payments due to insufficient funds, limits, a blocked card, or technical problems in the systems of the issuing bank or the Payment Service Provider.</w:t>
      </w:r>
    </w:p>
    <w:p w14:paraId="65FF4BA2" w14:textId="77777777" w:rsidR="00814B47" w:rsidRDefault="00C9247B">
      <w:r>
        <w:rPr>
          <w:b/>
          <w:bCs/>
        </w:rPr>
        <w:t>6.6.</w:t>
      </w:r>
      <w:r>
        <w:t xml:space="preserve"> By making a card payment, the Cardholder declares that they are the lawful holder of the card and are authorised to use it. The Association may refuse an Order where there is suspicion of unauthorised use of a card.</w:t>
      </w:r>
    </w:p>
    <w:p w14:paraId="330595F4" w14:textId="77777777" w:rsidR="00814B47" w:rsidRDefault="00C9247B">
      <w:r>
        <w:rPr>
          <w:b/>
          <w:bCs/>
        </w:rPr>
        <w:t>6.7.</w:t>
      </w:r>
      <w:r>
        <w:t xml:space="preserve"> Amounts refundable under these General Terms and Conditions or the Event Terms shall be refunded using the same means of payment as used for the initial payment – to the card used for the payment or, respectively, to the bank account from which the transfer was made – unless the User has expressly requested another method and this does not entail costs for the User.</w:t>
      </w:r>
    </w:p>
    <w:p w14:paraId="75310529" w14:textId="77777777" w:rsidR="00814B47" w:rsidRDefault="00C9247B">
      <w:pPr>
        <w:rPr>
          <w:b/>
          <w:bCs/>
        </w:rPr>
      </w:pPr>
      <w:r>
        <w:rPr>
          <w:b/>
          <w:bCs/>
        </w:rPr>
        <w:t>Section VII. Right of Withdrawal, Cancellation and Refunds</w:t>
      </w:r>
    </w:p>
    <w:p w14:paraId="6F18962A" w14:textId="77777777" w:rsidR="00814B47" w:rsidRDefault="00C9247B">
      <w:r>
        <w:rPr>
          <w:b/>
          <w:bCs/>
        </w:rPr>
        <w:lastRenderedPageBreak/>
        <w:t>7.1.</w:t>
      </w:r>
      <w:r>
        <w:t xml:space="preserve"> Right of withdrawal from a distance contract. A User who has the status of “consumer” within the meaning of the CPA has the right to withdraw from the concluded contract, without stating a reason and without owing compensation or a penalty, within 14 (fourteen) days from the date of conclusion of the contract (Article 50, item 1 of the CPA). The exceptions to the right of withdrawal are set out in Clause 7.3.</w:t>
      </w:r>
    </w:p>
    <w:p w14:paraId="2E20D15D" w14:textId="2684172F" w:rsidR="00814B47" w:rsidRDefault="00C9247B">
      <w:r>
        <w:rPr>
          <w:b/>
          <w:bCs/>
        </w:rPr>
        <w:t>7.2.</w:t>
      </w:r>
      <w:r>
        <w:t xml:space="preserve"> Exercise of the right. The right of withdrawal is exercised by means of an unambiguous written statement sent to info@bscl.bg before the expiry of the time limit under Clause 7.1, and the User may use the standard withdrawal form set out in Annex No. 6 to the CPA (Article 52 of the CPA). Where the contract has been concluded through the online interface of the Website, the User may also exercise the right of withdrawal through the withdrawal function “Withdraw from the contract here”, which is available on the Website throughout the withdrawal period (Article 52a of the CPA). The Association shall confirm receipt of the withdrawal without delay and in a manner that enables the recipient to store it, review it later and reproduce it unchanged and, for a withdrawal made through the withdrawal function, no later than the end of the working day, stating the content of the withdrawal and the date and time of its submission.</w:t>
      </w:r>
    </w:p>
    <w:p w14:paraId="6025E904" w14:textId="77777777" w:rsidR="00814B47" w:rsidRDefault="00C9247B">
      <w:r>
        <w:rPr>
          <w:b/>
          <w:bCs/>
        </w:rPr>
        <w:t>7.3.</w:t>
      </w:r>
      <w:r>
        <w:t xml:space="preserve"> Withdrawal from a registration for an event. Pursuant to Article 57(12) of the CPA, the right of withdrawal under Clause 7.1 does not apply to contracts for the provision of services related to leisure activities where the contract provides for a specific date or period of performance. Withdrawal from (cancellation of) a registration for an event, substitution of a participant and non-attendance are governed by the relevant Event Terms.</w:t>
      </w:r>
    </w:p>
    <w:p w14:paraId="0CE5E878" w14:textId="77777777" w:rsidR="00814B47" w:rsidRDefault="00C9247B">
      <w:r>
        <w:rPr>
          <w:b/>
          <w:bCs/>
        </w:rPr>
        <w:t>7.4.</w:t>
      </w:r>
      <w:r>
        <w:t xml:space="preserve"> Membership fee. The membership fee is an obligation arising from membership in the Association and is payable in the amount and within the time limits determined in accordance with the Articles of Association and the decisions of the Association’s bodies.</w:t>
      </w:r>
    </w:p>
    <w:p w14:paraId="3F08AEF6" w14:textId="77777777" w:rsidR="00814B47" w:rsidRDefault="00C9247B">
      <w:r>
        <w:rPr>
          <w:b/>
          <w:bCs/>
        </w:rPr>
        <w:t>7.5.</w:t>
      </w:r>
      <w:r>
        <w:t xml:space="preserve"> Cancellation, postponement or change of an event. The consequences of the cancellation, postponement or change of an event by the Association are governed by the relevant Event Terms (Clause 15.3). If an event or part of it is cancelled by the Association, the User shall be entitled to a full refund of the fee paid for the cancelled part. If an event is postponed, the registration is transferred to the new date, and a User who is unable to attend on the new date may cancel their registration free of charge and receive a full refund by notifying the Association in writing within the time limit provided for in the Event Terms or, if none is provided, within 14 days of being notified of the new date. In the event of a change that materially alters the character of the event, the User may choose either to keep their registration or to receive a full refund; changes to the programme, speakers, session times or rooms that do not materially alter the character of the event do not entitle the User to cancel free of charge. The Association shall not be liable for the participant’s travel, accommodation, visa or other similar costs, except in cases of intent or gross negligence.</w:t>
      </w:r>
    </w:p>
    <w:p w14:paraId="78AEFF0E" w14:textId="77777777" w:rsidR="00814B47" w:rsidRDefault="00C9247B">
      <w:r>
        <w:rPr>
          <w:b/>
          <w:bCs/>
        </w:rPr>
        <w:t>7.6.</w:t>
      </w:r>
      <w:r>
        <w:t xml:space="preserve"> Time limit for reimbursement. Where the right of withdrawal under Clause 7.1 is exercised, amounts due shall be refunded without undue delay and no later than 14 (fourteen) days from the date on which the Association was informed of the withdrawal in accordance with Clause 7.2, using the same method as the payment was made (Clause 6.7), without additional costs for the User (Article 54(1) and (2) of the CPA). In the event of cancellation of a registration for an event, as well as cancellation or postponement of an event under Clause 7.5, amounts shall be refunded within the time limit and on the terms provided for in the relevant Event Terms or, if no time limit is provided, within 14 (fourteen) days, using the method under Clause 6.7.</w:t>
      </w:r>
    </w:p>
    <w:p w14:paraId="1177B4D0" w14:textId="77777777" w:rsidR="00814B47" w:rsidRDefault="00C9247B">
      <w:pPr>
        <w:rPr>
          <w:b/>
          <w:bCs/>
        </w:rPr>
      </w:pPr>
      <w:r>
        <w:rPr>
          <w:b/>
          <w:bCs/>
        </w:rPr>
        <w:t>Section VIII. Complaints</w:t>
      </w:r>
    </w:p>
    <w:p w14:paraId="2A49EB56" w14:textId="77777777" w:rsidR="00814B47" w:rsidRDefault="00C9247B">
      <w:r>
        <w:rPr>
          <w:b/>
          <w:bCs/>
        </w:rPr>
        <w:lastRenderedPageBreak/>
        <w:t>8.1.</w:t>
      </w:r>
      <w:r>
        <w:t xml:space="preserve"> The User has the right to lodge a complaint where the Service provided does not conform to the contract (Article 125 of the CPA). The complaint may be lodged orally or in writing – at the correspondence address under Clause 1.2, at the Association’s management address or by e-mail to info@bscl.bg, the choice of place being entirely the User’s. When lodging the complaint, the User shall state its subject, the preferred remedy (bringing the Service into conformity with the contract, a price reduction, or termination of the contract and a refund of the amount paid), or the amount claimed, and a contact address, and shall attach the documents on which the claim is based (invoice or other payment document and other evidence of the non-conformity).</w:t>
      </w:r>
    </w:p>
    <w:p w14:paraId="0552BD81" w14:textId="77777777" w:rsidR="00814B47" w:rsidRDefault="00C9247B">
      <w:r>
        <w:rPr>
          <w:b/>
          <w:bCs/>
        </w:rPr>
        <w:t>8.2.</w:t>
      </w:r>
      <w:r>
        <w:t xml:space="preserve"> The Association enters the complaint in the register of complaints and provides the User, including by e-mail, with a document stating the date and the number under which the complaint has been registered and the type of Service (Article 127 of the CPA). The Association shall rule on the complaint in writing within 30 (thirty) days of its submission and, where it upholds the complaint, shall issue a document to that effect (Article 128(2) of the CPA). Lodging a complaint does not preclude bringing legal proceedings (Article 129 of the CPA).</w:t>
      </w:r>
    </w:p>
    <w:p w14:paraId="023E5ECB" w14:textId="77777777" w:rsidR="00814B47" w:rsidRDefault="00C9247B">
      <w:pPr>
        <w:rPr>
          <w:b/>
          <w:bCs/>
        </w:rPr>
      </w:pPr>
      <w:r>
        <w:rPr>
          <w:b/>
          <w:bCs/>
        </w:rPr>
        <w:t>Section IX. Resolution of Payment Disputes</w:t>
      </w:r>
    </w:p>
    <w:p w14:paraId="5CBB7DA3" w14:textId="77777777" w:rsidR="00814B47" w:rsidRDefault="00C9247B">
      <w:r>
        <w:rPr>
          <w:b/>
          <w:bCs/>
        </w:rPr>
        <w:t>9.1.</w:t>
      </w:r>
      <w:r>
        <w:t xml:space="preserve"> Disputes with the Association. In the event of a question or dispute relating to a payment (double or incorrect charging, refund not received, incorrect amount, Service not provided), the User should first contact the Association at info@bscl.bg, stating the date, the amount, the last four digits of the card, and the Order number. The Association shall respond within 14 days and, where justified, shall refund the amount due in accordance with Clauses 6.7 and 7.6.</w:t>
      </w:r>
    </w:p>
    <w:p w14:paraId="5CA1430F" w14:textId="77777777" w:rsidR="00814B47" w:rsidRDefault="00C9247B">
      <w:r>
        <w:rPr>
          <w:b/>
          <w:bCs/>
        </w:rPr>
        <w:t>9.2.</w:t>
      </w:r>
      <w:r>
        <w:t xml:space="preserve"> Unauthorised or incorrectly executed payment transactions. If the Cardholder identifies a </w:t>
      </w:r>
      <w:proofErr w:type="gramStart"/>
      <w:r>
        <w:t>payment</w:t>
      </w:r>
      <w:proofErr w:type="gramEnd"/>
      <w:r>
        <w:t xml:space="preserve"> they did not authorise, or an incorrectly executed payment, they should notify the card-issuing bank immediately upon becoming aware of it, but no later than 13 months from the date the account was debited, in accordance with the PSPSA. In the event of loss, theft, or unauthorised use of the card, the Cardholder should immediately notify the issuing bank to have the card blocked.</w:t>
      </w:r>
    </w:p>
    <w:p w14:paraId="206B97C4" w14:textId="77777777" w:rsidR="00814B47" w:rsidRDefault="00C9247B">
      <w:r>
        <w:rPr>
          <w:b/>
          <w:bCs/>
        </w:rPr>
        <w:t>9.3.</w:t>
      </w:r>
      <w:r>
        <w:t xml:space="preserve"> Disputing a payment (chargeback). The Cardholder has the right to dispute a card payment before the issuing bank in accordance with the rules of the relevant card scheme (Visa, Mastercard, Diners Club International). Upon receiving an inquiry or dispute, the Association shall provide the Payment Service Provider with the available documents relating to the Order and the Service provided. It is recommended that the User first seek a resolution under Clause 9.1, as this usually leads to a faster refund.</w:t>
      </w:r>
    </w:p>
    <w:p w14:paraId="28295F41" w14:textId="77777777" w:rsidR="00814B47" w:rsidRDefault="00C9247B">
      <w:r>
        <w:rPr>
          <w:b/>
          <w:bCs/>
        </w:rPr>
        <w:t>9.4.</w:t>
      </w:r>
      <w:r>
        <w:t xml:space="preserve"> Disputes between the User and their payment service provider may also be referred to the Conciliation Commission for Payment Disputes at the Consumer Protection Commission (www.kzp.bg).</w:t>
      </w:r>
    </w:p>
    <w:p w14:paraId="4AEC3AA6" w14:textId="77777777" w:rsidR="00814B47" w:rsidRDefault="00C9247B">
      <w:r>
        <w:rPr>
          <w:b/>
          <w:bCs/>
        </w:rPr>
        <w:t>9.5.</w:t>
      </w:r>
      <w:r>
        <w:t xml:space="preserve"> Alternative resolution of consumer disputes. Users may refer a dispute with the Association to the general conciliation commissions at the Consumer Protection Commission (4A Slaveykov Square, 1000 Sofia; www.kzp.bg) or to another alternative dispute resolution body listed under Article 181p of the CPA. In cross-border disputes, the User may contact the European Consumer Centre – Bulgaria (www.ecc.kzp.bg).</w:t>
      </w:r>
    </w:p>
    <w:p w14:paraId="7542F164" w14:textId="77777777" w:rsidR="00814B47" w:rsidRDefault="00C9247B">
      <w:r>
        <w:rPr>
          <w:b/>
          <w:bCs/>
        </w:rPr>
        <w:t>9.6.</w:t>
      </w:r>
      <w:r>
        <w:t xml:space="preserve"> Where the dispute is not resolved out of court, it shall be referred to the competent Bulgarian court and, where the User is not a consumer, to the competent court in the city of Sofia. Where the User is a consumer, they retain the protection of the mandatory rules on jurisdiction operating in their favour, including the right to bring proceedings in, and to be sued only in, the courts of the state in which they are domiciled.</w:t>
      </w:r>
    </w:p>
    <w:p w14:paraId="75F187B0" w14:textId="77777777" w:rsidR="00814B47" w:rsidRDefault="00C9247B">
      <w:pPr>
        <w:rPr>
          <w:b/>
          <w:bCs/>
        </w:rPr>
      </w:pPr>
      <w:r>
        <w:rPr>
          <w:b/>
          <w:bCs/>
        </w:rPr>
        <w:t>Section X. Personal Data Protection</w:t>
      </w:r>
    </w:p>
    <w:p w14:paraId="3FD27F79" w14:textId="77777777" w:rsidR="00814B47" w:rsidRDefault="00C9247B">
      <w:r>
        <w:rPr>
          <w:b/>
          <w:bCs/>
        </w:rPr>
        <w:lastRenderedPageBreak/>
        <w:t>10.1.</w:t>
      </w:r>
      <w:r>
        <w:t xml:space="preserve"> The Association processes Users’ personal data in accordance with Regulation (EU) 2016/679 (GDPR), the Bulgarian Personal Data Protection Act and applicable Bulgarian and European law, for the following purposes: event registration and administration; communication regarding events; processing payments and issuing invoices; issuing certificates of attendance; improving the quality of the events and services; marketing and promotion of future events and initiatives; compliance with legal, accounting and tax obligations; protection of legal rights and interests and defence against legal claims. The categories of personal data processed, the legal bases, the recipients, the retention periods and the data subjects’ rights are set out in the Privacy Notice published on the Website. Photographs and recordings from events are governed by Section 5 of the Privacy Notice and the relevant Event Terms, and inclusion in the list of participants is governed by the relevant Event Terms.</w:t>
      </w:r>
    </w:p>
    <w:p w14:paraId="7CAEE75A" w14:textId="77777777" w:rsidR="00814B47" w:rsidRDefault="00C9247B">
      <w:r>
        <w:rPr>
          <w:b/>
          <w:bCs/>
        </w:rPr>
        <w:t>10.2.</w:t>
      </w:r>
      <w:r>
        <w:t xml:space="preserve"> Card data is processed solely by the Payment Service Provider as an independent controller. The Association receives only information about the outcome of the payment (approved/declined, amount, date, reference number).</w:t>
      </w:r>
    </w:p>
    <w:p w14:paraId="69FF6AF9" w14:textId="77777777" w:rsidR="00814B47" w:rsidRDefault="00C9247B">
      <w:pPr>
        <w:rPr>
          <w:b/>
          <w:bCs/>
        </w:rPr>
      </w:pPr>
      <w:r>
        <w:rPr>
          <w:b/>
          <w:bCs/>
        </w:rPr>
        <w:t>Section XI. Rights and Obligations of the Parties</w:t>
      </w:r>
    </w:p>
    <w:p w14:paraId="7D830A15" w14:textId="77777777" w:rsidR="00814B47" w:rsidRDefault="00C9247B">
      <w:r>
        <w:rPr>
          <w:b/>
          <w:bCs/>
        </w:rPr>
        <w:t>11.1.</w:t>
      </w:r>
      <w:r>
        <w:t xml:space="preserve"> The User has the right: (a) to real-time access to the Services provided through the Website, subject to the access requirements determined by the Association; (b) to exercise their rights as a data subject (rights of access, rectification, erasure, restriction of processing, objection, data portability and withdrawal of consent, as well as the right to lodge a complaint with the Commission for Personal Data Protection) as set out in Section 9 of the Privacy Notice; (c) to withdraw at any time their consent to receive commercial communications from the Association; (d) at any time, at their own discretion, to discontinue the use of the Services provided, without this affecting contracts already concluded and payments due under them; (e) to withdraw from the contract in the cases and in accordance with Clauses 7.1 and 7.2 and, as regards a registration for an event, to withdraw from (cancel) it in accordance with the relevant Event Terms (Clause 7.3); (f) to a refund of the amounts paid in the event of cancellation or postponement of an event by the Association in accordance with Clauses 7.5 and 7.6 and the relevant Event Terms; (g) to lodge complaints in accordance with Section VIII; (h) to refer a dispute with the Association for out-of-court resolution in accordance with Clause 9.5.</w:t>
      </w:r>
    </w:p>
    <w:p w14:paraId="50474677" w14:textId="77777777" w:rsidR="00814B47" w:rsidRDefault="00C9247B">
      <w:r>
        <w:rPr>
          <w:b/>
          <w:bCs/>
        </w:rPr>
        <w:t>11.2.</w:t>
      </w:r>
      <w:r>
        <w:t xml:space="preserve"> The User undertakes to: provide true and complete information when using the Services; pay the price of the requested Services on time; comply with Bulgarian law, these General Terms and Conditions and good morals; not infringe the rights of third parties, including intellectual property rights; not carry out Malicious Acts within the meaning of these General Terms and Conditions; not use the Website in a manner that disrupts its normal operation, and not systematically extract content from it.</w:t>
      </w:r>
    </w:p>
    <w:p w14:paraId="506D2A08" w14:textId="77777777" w:rsidR="00814B47" w:rsidRDefault="00C9247B">
      <w:r>
        <w:rPr>
          <w:b/>
          <w:bCs/>
        </w:rPr>
        <w:t>11.3.</w:t>
      </w:r>
      <w:r>
        <w:t xml:space="preserve"> The Association has the right to: (a) change the scope, content and prices of the Services, without this affecting contracts already concluded (Clauses 4.2 and 14.1); (b) deny access to certain Services, or immediately terminate their provision, to a User who violates Bulgarian law, these General Terms and Conditions, or the rights of the Association or of third parties, the relevant Event Terms applying as regards a registration for an event; (c) place on the Website hyperlinks and information about events and initiatives of third parties related to the Association’s activities; (d) provide information to competent state authorities where there is reason to believe that a User’s conduct constitutes a crime or an administrative offence; (e) discontinue for the future the provision of specific Services, by notifying Users through the publication of a notice on the Website, and refund in accordance with Clause 6.7 the amounts paid for Services already paid for that will not be provided.</w:t>
      </w:r>
    </w:p>
    <w:p w14:paraId="137656F7" w14:textId="77777777" w:rsidR="00814B47" w:rsidRDefault="00C9247B">
      <w:r>
        <w:rPr>
          <w:b/>
          <w:bCs/>
        </w:rPr>
        <w:t>11.4.</w:t>
      </w:r>
      <w:r>
        <w:t xml:space="preserve"> The Association undertakes to: provide the User, before the conclusion of the contract and in a clear and comprehensible manner, with the information under Article 4 of the Electronic Commerce Act and Article 47 of the CPA; confirm the concluded contract on a durable medium (Clause 5.2); provide the paid Services in accordance with their description on the Website and the relevant Event Terms; </w:t>
      </w:r>
      <w:r>
        <w:lastRenderedPageBreak/>
        <w:t>ensure a secure payment environment through the Payment Service Provider; process complaints and refund requests and refund the amounts due within the time limits specified in these General Terms and Conditions; exercise due care in performing its obligations under these General Terms and Conditions.</w:t>
      </w:r>
    </w:p>
    <w:p w14:paraId="79C27EFB" w14:textId="77777777" w:rsidR="00814B47" w:rsidRDefault="00C9247B">
      <w:r>
        <w:rPr>
          <w:b/>
          <w:bCs/>
        </w:rPr>
        <w:t>11.5.</w:t>
      </w:r>
      <w:r>
        <w:t xml:space="preserve"> The User undertakes to indemnify the Association for damages incurred and lost profits, including compensation paid to third parties and expenses, to the extent due under the law, arising as a result of a culpable breach by the User of applicable law, these General Terms and Conditions, or the rights of third parties, in connection with the use of the Website.</w:t>
      </w:r>
    </w:p>
    <w:p w14:paraId="1C08CC0E" w14:textId="77777777" w:rsidR="00814B47" w:rsidRDefault="00C9247B">
      <w:pPr>
        <w:rPr>
          <w:b/>
          <w:bCs/>
        </w:rPr>
      </w:pPr>
      <w:r>
        <w:rPr>
          <w:b/>
          <w:bCs/>
        </w:rPr>
        <w:t>Section XII. Intellectual Property</w:t>
      </w:r>
    </w:p>
    <w:p w14:paraId="6A52862A" w14:textId="77777777" w:rsidR="00814B47" w:rsidRDefault="00C9247B">
      <w:r>
        <w:rPr>
          <w:b/>
          <w:bCs/>
        </w:rPr>
        <w:t>12.1.</w:t>
      </w:r>
      <w:r>
        <w:t xml:space="preserve"> The content of the Website (texts, publications, logo, graphic design, event materials) is subject to copyright and belongs to the Association or to the authors indicated. Copying and distributing it without written consent is prohibited, except for personal, non-commercial use with acknowledgement of the source and in the cases of free use permitted under the Copyright and Related Rights Act. Materials provided to event participants may be used on the terms of the relevant Event Terms.</w:t>
      </w:r>
    </w:p>
    <w:p w14:paraId="163B64A2" w14:textId="77777777" w:rsidR="00814B47" w:rsidRDefault="00C9247B">
      <w:r>
        <w:rPr>
          <w:b/>
          <w:bCs/>
        </w:rPr>
        <w:t>12.2.</w:t>
      </w:r>
      <w:r>
        <w:t xml:space="preserve"> In the event of copying or distribution of the Website content beyond what is permitted under Clause 12.1, as well as in the event of any other infringement of the Association’s intellectual property rights, the Association shall have the right to claim compensation for the damage caused and to exercise the other remedies provided for in the Copyright and Related Rights Act and other applicable law.</w:t>
      </w:r>
    </w:p>
    <w:p w14:paraId="59E6D7E9" w14:textId="77777777" w:rsidR="00814B47" w:rsidRDefault="00C9247B">
      <w:pPr>
        <w:rPr>
          <w:b/>
          <w:bCs/>
        </w:rPr>
      </w:pPr>
      <w:r>
        <w:rPr>
          <w:b/>
          <w:bCs/>
        </w:rPr>
        <w:t>Section XIII. Liability and Force Majeure</w:t>
      </w:r>
    </w:p>
    <w:p w14:paraId="5C555F1B" w14:textId="003F9948" w:rsidR="00814B47" w:rsidRDefault="00C9247B">
      <w:r>
        <w:rPr>
          <w:b/>
          <w:bCs/>
        </w:rPr>
        <w:t>13.1.</w:t>
      </w:r>
      <w:r>
        <w:t xml:space="preserve"> The Association shall not be liable for interruptions in access to the Website due to reasons beyond its control, including problems on the Internet network, hacking attacks, or acts of third parties. The Association takes care to ensure that the information on the Website is accurate and up to date, but does not guarantee its completeness, accuracy or freedom from errors, nor the continuity, timeliness or security of access to the Website, including during temporary technical tests or maintenance.</w:t>
      </w:r>
    </w:p>
    <w:p w14:paraId="7C6F4DC2" w14:textId="77777777" w:rsidR="00814B47" w:rsidRDefault="00C9247B">
      <w:r>
        <w:rPr>
          <w:b/>
          <w:bCs/>
        </w:rPr>
        <w:t>13.2.</w:t>
      </w:r>
      <w:r>
        <w:t xml:space="preserve"> Neither party shall be liable for non-performance caused by force majeure – an unforeseen or unavoidable event of an extraordinary nature occurring after the conclusion of the contract, for which the affected party is not responsible (Article 81 of the Obligations and Contracts Act), including fire, flood, earthquake or other natural disaster, extreme weather, epidemic or pandemic, war, military actions, civil unrest, terrorist acts, embargo, strike, failure of utilities or transport, unavailability of the venue, cyber-attack, acts of a public authority, or other circumstance beyond the reasonable control of the affected party. The party affected by force majeure shall notify the other party of the nature of the circumstance and its possible consequences for performance. If an event cannot take place due to force majeure, the Association may change, postpone or cancel it, in which case Clause 7.5 and the relevant Event Terms apply, with the User-consumer always retaining the right to a full refund of the fee for the event, or part thereof, that did not take place. If the force majeure continues for more than 30 (thirty) days, either party may terminate the contract by notice to the other party, without owing compensation for damages incurred.</w:t>
      </w:r>
    </w:p>
    <w:p w14:paraId="7A6B875C" w14:textId="77777777" w:rsidR="00814B47" w:rsidRDefault="00C9247B">
      <w:r>
        <w:rPr>
          <w:b/>
          <w:bCs/>
        </w:rPr>
        <w:t>13.3.</w:t>
      </w:r>
      <w:r>
        <w:t xml:space="preserve"> Nothing in these General Terms and Conditions limits the rights granted to consumers by mandatory provisions of the law.</w:t>
      </w:r>
    </w:p>
    <w:p w14:paraId="7FEDFE57" w14:textId="77777777" w:rsidR="00814B47" w:rsidRDefault="00C9247B">
      <w:pPr>
        <w:rPr>
          <w:b/>
          <w:bCs/>
        </w:rPr>
      </w:pPr>
      <w:r>
        <w:rPr>
          <w:b/>
          <w:bCs/>
        </w:rPr>
        <w:t>Section XIV. Amendment of the General Terms and Conditions</w:t>
      </w:r>
    </w:p>
    <w:p w14:paraId="63BEC413" w14:textId="77777777" w:rsidR="00814B47" w:rsidRDefault="00C9247B">
      <w:r>
        <w:rPr>
          <w:b/>
          <w:bCs/>
        </w:rPr>
        <w:t>14.1.</w:t>
      </w:r>
      <w:r>
        <w:t xml:space="preserve"> The Association may amend these General Terms and Conditions where necessary for legal, regulatory or organisational reasons, by publishing the amendment on the Website, indicating the date it takes effect. Each Order is governed by the version of the General Terms and Conditions in force at the time it is placed. Amendments shall not affect contracts already concluded, except with the express </w:t>
      </w:r>
      <w:r>
        <w:lastRenderedPageBreak/>
        <w:t>consent of the User or where the amendment is required by law; in such cases the Association notifies the Users concerned by e-mail.</w:t>
      </w:r>
    </w:p>
    <w:p w14:paraId="5E7392E2" w14:textId="77777777" w:rsidR="00814B47" w:rsidRDefault="00C9247B">
      <w:pPr>
        <w:rPr>
          <w:b/>
          <w:bCs/>
        </w:rPr>
      </w:pPr>
      <w:r>
        <w:rPr>
          <w:b/>
          <w:bCs/>
        </w:rPr>
        <w:t>Section XV. Applicable Law and Final Provisions</w:t>
      </w:r>
    </w:p>
    <w:p w14:paraId="191F6B1F" w14:textId="77777777" w:rsidR="00814B47" w:rsidRDefault="00C9247B">
      <w:r>
        <w:rPr>
          <w:b/>
          <w:bCs/>
        </w:rPr>
        <w:t>15.1.</w:t>
      </w:r>
      <w:r>
        <w:t xml:space="preserve"> For matters not settled herein, the applicable Bulgarian law shall apply, including the Obligations and Contracts Act, the Consumer Protection Act, the Electronic Commerce Act, the Electronic Document and Electronic Trust Services Act, the Payment Services and Payment Systems Act, the Copyright and Related Rights Act, and the Non-Profit Legal Entities Act. Where the User is a consumer habitually resident in another state, the choice of Bulgarian law does not deprive the User of the protection afforded by the mandatory provisions of the law of that state.</w:t>
      </w:r>
    </w:p>
    <w:p w14:paraId="46224B4D" w14:textId="77777777" w:rsidR="00814B47" w:rsidRDefault="00C9247B">
      <w:r>
        <w:rPr>
          <w:b/>
          <w:bCs/>
        </w:rPr>
        <w:t>15.2.</w:t>
      </w:r>
      <w:r>
        <w:t xml:space="preserve"> If any provision is found to be invalid, this shall not affect the validity of the remaining provisions, and the invalid provision shall be replaced by operation of law by the mandatory provisions of the law.</w:t>
      </w:r>
    </w:p>
    <w:p w14:paraId="203E0F4C" w14:textId="77777777" w:rsidR="00814B47" w:rsidRDefault="00C9247B">
      <w:r>
        <w:rPr>
          <w:b/>
          <w:bCs/>
        </w:rPr>
        <w:t>15.3.</w:t>
      </w:r>
      <w:r>
        <w:t xml:space="preserve"> Relationship with the Event Terms. The Event Terms of the relevant event are special terms governing registration for and participation in that event and form an integral part of the participation contract. In the event of conflict between these General Terms and Conditions and the Event Terms, the Event Terms shall prevail, to the extent they do not contravene mandatory provisions of law. Matters not governed by the Event Terms are governed by these General Terms and Conditions.</w:t>
      </w:r>
    </w:p>
    <w:p w14:paraId="4EEF72A6" w14:textId="77777777" w:rsidR="00814B47" w:rsidRDefault="00C9247B">
      <w:r>
        <w:rPr>
          <w:b/>
          <w:bCs/>
        </w:rPr>
        <w:t>15.4.</w:t>
      </w:r>
      <w:r>
        <w:t xml:space="preserve"> Language versions. These General Terms and Conditions are published in Bulgarian and English. In the event of any discrepancy between the two language versions, the Bulgarian text shall prevail.</w:t>
      </w:r>
    </w:p>
    <w:p w14:paraId="54995061" w14:textId="77777777" w:rsidR="00814B47" w:rsidRDefault="00C9247B">
      <w:r>
        <w:rPr>
          <w:b/>
          <w:bCs/>
        </w:rPr>
        <w:t>15.5.</w:t>
      </w:r>
      <w:r>
        <w:t xml:space="preserve"> These General Terms and Conditions were adopted by resolution of the Management Board of the Association on 16 October 2026 and take effect as of 16 October 2026.</w:t>
      </w:r>
    </w:p>
    <w:p w14:paraId="2E2A900B" w14:textId="77777777" w:rsidR="00814B47" w:rsidRDefault="00814B47">
      <w:pPr>
        <w:rPr>
          <w:rFonts w:asciiTheme="minorHAnsi" w:hAnsiTheme="minorHAnsi" w:cstheme="minorHAnsi"/>
        </w:rPr>
      </w:pPr>
    </w:p>
    <w:sectPr w:rsidR="00814B47">
      <w:footerReference w:type="even" r:id="rId10"/>
      <w:footerReference w:type="default" r:id="rId11"/>
      <w:footerReference w:type="first" r:id="rId12"/>
      <w:pgSz w:w="11906" w:h="16838"/>
      <w:pgMar w:top="1418" w:right="1418" w:bottom="1418" w:left="1418" w:header="0" w:footer="454" w:gutter="0"/>
      <w:cols w:space="708"/>
      <w:formProt w:val="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1937DA" w14:textId="77777777" w:rsidR="007312CC" w:rsidRDefault="007312CC">
      <w:pPr>
        <w:spacing w:after="0"/>
      </w:pPr>
      <w:r>
        <w:separator/>
      </w:r>
    </w:p>
  </w:endnote>
  <w:endnote w:type="continuationSeparator" w:id="0">
    <w:p w14:paraId="39896FCD" w14:textId="77777777" w:rsidR="007312CC" w:rsidRDefault="007312C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694B9" w14:textId="77777777" w:rsidR="00814B47" w:rsidRDefault="00814B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4D8A4" w14:textId="77777777" w:rsidR="00814B47" w:rsidRDefault="00C9247B">
    <w:pPr>
      <w:pStyle w:val="Footer"/>
      <w:jc w:val="center"/>
    </w:pPr>
    <w:r>
      <w:fldChar w:fldCharType="begin"/>
    </w:r>
    <w:r>
      <w:instrText xml:space="preserve"> PAGE </w:instrText>
    </w:r>
    <w:r>
      <w:fldChar w:fldCharType="separate"/>
    </w:r>
    <w:r>
      <w:t>21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D3F72" w14:textId="77777777" w:rsidR="00814B47" w:rsidRDefault="00814B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519B" w14:textId="77777777" w:rsidR="007312CC" w:rsidRDefault="007312CC">
      <w:pPr>
        <w:spacing w:after="0"/>
      </w:pPr>
      <w:r>
        <w:separator/>
      </w:r>
    </w:p>
  </w:footnote>
  <w:footnote w:type="continuationSeparator" w:id="0">
    <w:p w14:paraId="7EE9721E" w14:textId="77777777" w:rsidR="007312CC" w:rsidRDefault="007312CC">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970F2"/>
    <w:multiLevelType w:val="multilevel"/>
    <w:tmpl w:val="84F4FFE6"/>
    <w:lvl w:ilvl="0">
      <w:start w:val="1"/>
      <w:numFmt w:val="decimal"/>
      <w:pStyle w:val="Level1"/>
      <w:lvlText w:val="%1."/>
      <w:lvlJc w:val="left"/>
      <w:pPr>
        <w:tabs>
          <w:tab w:val="num" w:pos="624"/>
        </w:tabs>
        <w:ind w:left="624" w:hanging="624"/>
      </w:pPr>
      <w:rPr>
        <w:b w:val="0"/>
        <w:i w:val="0"/>
        <w:u w:val="none"/>
      </w:rPr>
    </w:lvl>
    <w:lvl w:ilvl="1">
      <w:start w:val="1"/>
      <w:numFmt w:val="decimal"/>
      <w:pStyle w:val="Level2"/>
      <w:lvlText w:val="%1.%2"/>
      <w:lvlJc w:val="left"/>
      <w:pPr>
        <w:tabs>
          <w:tab w:val="num" w:pos="624"/>
        </w:tabs>
        <w:ind w:left="624" w:hanging="624"/>
      </w:pPr>
      <w:rPr>
        <w:b w:val="0"/>
        <w:i w:val="0"/>
        <w:u w:val="none"/>
      </w:rPr>
    </w:lvl>
    <w:lvl w:ilvl="2">
      <w:start w:val="1"/>
      <w:numFmt w:val="decimal"/>
      <w:pStyle w:val="Level3"/>
      <w:lvlText w:val="%1.%2.%3"/>
      <w:lvlJc w:val="left"/>
      <w:pPr>
        <w:tabs>
          <w:tab w:val="num" w:pos="1361"/>
        </w:tabs>
        <w:ind w:left="1361" w:hanging="737"/>
      </w:pPr>
      <w:rPr>
        <w:b w:val="0"/>
        <w:i w:val="0"/>
        <w:u w:val="none"/>
      </w:rPr>
    </w:lvl>
    <w:lvl w:ilvl="3">
      <w:start w:val="1"/>
      <w:numFmt w:val="lowerLetter"/>
      <w:pStyle w:val="Level4"/>
      <w:lvlText w:val="(%4)"/>
      <w:lvlJc w:val="left"/>
      <w:pPr>
        <w:tabs>
          <w:tab w:val="num" w:pos="2039"/>
        </w:tabs>
        <w:ind w:left="2039" w:hanging="678"/>
      </w:pPr>
      <w:rPr>
        <w:b w:val="0"/>
        <w:i w:val="0"/>
        <w:u w:val="none"/>
      </w:rPr>
    </w:lvl>
    <w:lvl w:ilvl="4">
      <w:start w:val="1"/>
      <w:numFmt w:val="decimal"/>
      <w:pStyle w:val="Level5"/>
      <w:lvlText w:val="(%5)"/>
      <w:lvlJc w:val="left"/>
      <w:pPr>
        <w:tabs>
          <w:tab w:val="num" w:pos="2723"/>
        </w:tabs>
        <w:ind w:left="2723" w:hanging="684"/>
      </w:pPr>
      <w:rPr>
        <w:b w:val="0"/>
        <w:i w:val="0"/>
        <w:u w:val="none"/>
      </w:rPr>
    </w:lvl>
    <w:lvl w:ilvl="5">
      <w:start w:val="1"/>
      <w:numFmt w:val="lowerRoman"/>
      <w:lvlText w:val="(%6)"/>
      <w:lvlJc w:val="left"/>
      <w:pPr>
        <w:tabs>
          <w:tab w:val="num" w:pos="3403"/>
        </w:tabs>
        <w:ind w:left="3403" w:hanging="680"/>
      </w:pPr>
    </w:lvl>
    <w:lvl w:ilvl="6">
      <w:start w:val="1"/>
      <w:numFmt w:val="upperRoman"/>
      <w:pStyle w:val="Level7"/>
      <w:lvlText w:val="(%7)"/>
      <w:lvlJc w:val="left"/>
      <w:pPr>
        <w:tabs>
          <w:tab w:val="num" w:pos="4083"/>
        </w:tabs>
        <w:ind w:left="4083" w:hanging="680"/>
      </w:pPr>
    </w:lvl>
    <w:lvl w:ilvl="7">
      <w:start w:val="1"/>
      <w:numFmt w:val="none"/>
      <w:suff w:val="nothing"/>
      <w:lvlText w:val="(Not Defined)"/>
      <w:lvlJc w:val="left"/>
      <w:pPr>
        <w:tabs>
          <w:tab w:val="num" w:pos="4763"/>
        </w:tabs>
        <w:ind w:left="4763" w:hanging="680"/>
      </w:pPr>
    </w:lvl>
    <w:lvl w:ilvl="8">
      <w:start w:val="1"/>
      <w:numFmt w:val="none"/>
      <w:suff w:val="nothing"/>
      <w:lvlText w:val="(Not Defined)"/>
      <w:lvlJc w:val="left"/>
      <w:pPr>
        <w:tabs>
          <w:tab w:val="num" w:pos="5443"/>
        </w:tabs>
        <w:ind w:left="5443" w:hanging="680"/>
      </w:pPr>
    </w:lvl>
  </w:abstractNum>
  <w:abstractNum w:abstractNumId="1" w15:restartNumberingAfterBreak="0">
    <w:nsid w:val="2795322D"/>
    <w:multiLevelType w:val="multilevel"/>
    <w:tmpl w:val="4EB62EBA"/>
    <w:lvl w:ilvl="0">
      <w:start w:val="1"/>
      <w:numFmt w:val="decimal"/>
      <w:pStyle w:val="Parties"/>
      <w:lvlText w:val="(%1)"/>
      <w:lvlJc w:val="left"/>
      <w:pPr>
        <w:tabs>
          <w:tab w:val="num" w:pos="624"/>
        </w:tabs>
        <w:ind w:left="624" w:hanging="624"/>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9770113"/>
    <w:multiLevelType w:val="multilevel"/>
    <w:tmpl w:val="CB561F1A"/>
    <w:lvl w:ilvl="0">
      <w:start w:val="1"/>
      <w:numFmt w:val="decimal"/>
      <w:lvlText w:val="Rule %1"/>
      <w:lvlJc w:val="left"/>
      <w:pPr>
        <w:tabs>
          <w:tab w:val="num" w:pos="1077"/>
        </w:tabs>
        <w:ind w:left="1077" w:hanging="1077"/>
      </w:pPr>
      <w:rPr>
        <w:b/>
        <w:i w:val="0"/>
      </w:rPr>
    </w:lvl>
    <w:lvl w:ilvl="1">
      <w:start w:val="1"/>
      <w:numFmt w:val="decimal"/>
      <w:lvlText w:val="%1.%2"/>
      <w:lvlJc w:val="left"/>
      <w:pPr>
        <w:tabs>
          <w:tab w:val="num" w:pos="1077"/>
        </w:tabs>
        <w:ind w:left="1077" w:hanging="1077"/>
      </w:pPr>
    </w:lvl>
    <w:lvl w:ilvl="2">
      <w:start w:val="1"/>
      <w:numFmt w:val="decimal"/>
      <w:lvlText w:val="%1.%2.%3"/>
      <w:lvlJc w:val="left"/>
      <w:pPr>
        <w:tabs>
          <w:tab w:val="num" w:pos="2211"/>
        </w:tabs>
        <w:ind w:left="2211" w:hanging="1134"/>
      </w:pPr>
    </w:lvl>
    <w:lvl w:ilvl="3">
      <w:start w:val="1"/>
      <w:numFmt w:val="decimal"/>
      <w:lvlText w:val="%1.%2.%3.%4"/>
      <w:lvlJc w:val="left"/>
      <w:pPr>
        <w:tabs>
          <w:tab w:val="num" w:pos="3686"/>
        </w:tabs>
        <w:ind w:left="3686" w:hanging="1475"/>
      </w:pPr>
    </w:lvl>
    <w:lvl w:ilvl="4">
      <w:start w:val="1"/>
      <w:numFmt w:val="decimal"/>
      <w:pStyle w:val="Rule5"/>
      <w:lvlText w:val="%1.%2.%3.%4.%5"/>
      <w:lvlJc w:val="left"/>
      <w:pPr>
        <w:tabs>
          <w:tab w:val="num" w:pos="3686"/>
        </w:tabs>
        <w:ind w:left="3686" w:hanging="1475"/>
      </w:pPr>
    </w:lvl>
    <w:lvl w:ilvl="5">
      <w:start w:val="1"/>
      <w:numFmt w:val="none"/>
      <w:suff w:val="nothing"/>
      <w:lvlText w:val="(Not Defined)"/>
      <w:lvlJc w:val="left"/>
      <w:pPr>
        <w:tabs>
          <w:tab w:val="num" w:pos="1440"/>
        </w:tabs>
        <w:ind w:left="1152" w:hanging="1152"/>
      </w:pPr>
    </w:lvl>
    <w:lvl w:ilvl="6">
      <w:start w:val="1"/>
      <w:numFmt w:val="none"/>
      <w:suff w:val="nothing"/>
      <w:lvlText w:val="(Not Defined)"/>
      <w:lvlJc w:val="left"/>
      <w:pPr>
        <w:tabs>
          <w:tab w:val="num" w:pos="1440"/>
        </w:tabs>
        <w:ind w:left="1296" w:hanging="1296"/>
      </w:pPr>
    </w:lvl>
    <w:lvl w:ilvl="7">
      <w:start w:val="1"/>
      <w:numFmt w:val="none"/>
      <w:suff w:val="nothing"/>
      <w:lvlText w:val="(Not Defined)"/>
      <w:lvlJc w:val="left"/>
      <w:pPr>
        <w:tabs>
          <w:tab w:val="num" w:pos="1440"/>
        </w:tabs>
        <w:ind w:left="1440" w:hanging="1440"/>
      </w:pPr>
    </w:lvl>
    <w:lvl w:ilvl="8">
      <w:start w:val="1"/>
      <w:numFmt w:val="none"/>
      <w:suff w:val="nothing"/>
      <w:lvlText w:val="(Not Defined)"/>
      <w:lvlJc w:val="left"/>
      <w:pPr>
        <w:tabs>
          <w:tab w:val="num" w:pos="1584"/>
        </w:tabs>
        <w:ind w:left="1584" w:hanging="1584"/>
      </w:pPr>
    </w:lvl>
  </w:abstractNum>
  <w:abstractNum w:abstractNumId="3" w15:restartNumberingAfterBreak="0">
    <w:nsid w:val="29A00C1A"/>
    <w:multiLevelType w:val="multilevel"/>
    <w:tmpl w:val="972866A0"/>
    <w:lvl w:ilvl="0">
      <w:start w:val="1"/>
      <w:numFmt w:val="decimal"/>
      <w:pStyle w:val="Heading1"/>
      <w:lvlText w:val="%1."/>
      <w:lvlJc w:val="left"/>
      <w:pPr>
        <w:tabs>
          <w:tab w:val="num" w:pos="624"/>
        </w:tabs>
        <w:ind w:left="624" w:hanging="624"/>
      </w:pPr>
      <w:rPr>
        <w:b w:val="0"/>
        <w:i w:val="0"/>
        <w:u w:val="none"/>
      </w:rPr>
    </w:lvl>
    <w:lvl w:ilvl="1">
      <w:start w:val="1"/>
      <w:numFmt w:val="decimal"/>
      <w:pStyle w:val="Heading2"/>
      <w:lvlText w:val="%1.%2"/>
      <w:lvlJc w:val="left"/>
      <w:pPr>
        <w:tabs>
          <w:tab w:val="num" w:pos="624"/>
        </w:tabs>
        <w:ind w:left="624" w:hanging="624"/>
      </w:pPr>
      <w:rPr>
        <w:b w:val="0"/>
        <w:i w:val="0"/>
        <w:u w:val="none"/>
      </w:rPr>
    </w:lvl>
    <w:lvl w:ilvl="2">
      <w:start w:val="1"/>
      <w:numFmt w:val="decimal"/>
      <w:pStyle w:val="Heading3"/>
      <w:lvlText w:val="%1.%2.%3"/>
      <w:lvlJc w:val="left"/>
      <w:pPr>
        <w:tabs>
          <w:tab w:val="num" w:pos="1361"/>
        </w:tabs>
        <w:ind w:left="1361" w:hanging="737"/>
      </w:pPr>
      <w:rPr>
        <w:b w:val="0"/>
        <w:i w:val="0"/>
        <w:u w:val="none"/>
      </w:rPr>
    </w:lvl>
    <w:lvl w:ilvl="3">
      <w:start w:val="1"/>
      <w:numFmt w:val="lowerLetter"/>
      <w:pStyle w:val="Heading4"/>
      <w:lvlText w:val="(%4)"/>
      <w:lvlJc w:val="left"/>
      <w:pPr>
        <w:tabs>
          <w:tab w:val="num" w:pos="2039"/>
        </w:tabs>
        <w:ind w:left="2039" w:hanging="678"/>
      </w:pPr>
      <w:rPr>
        <w:b w:val="0"/>
        <w:i w:val="0"/>
        <w:u w:val="none"/>
      </w:rPr>
    </w:lvl>
    <w:lvl w:ilvl="4">
      <w:start w:val="1"/>
      <w:numFmt w:val="decimal"/>
      <w:pStyle w:val="Heading5"/>
      <w:lvlText w:val="(%5)"/>
      <w:lvlJc w:val="left"/>
      <w:pPr>
        <w:tabs>
          <w:tab w:val="num" w:pos="2723"/>
        </w:tabs>
        <w:ind w:left="2723" w:hanging="684"/>
      </w:pPr>
      <w:rPr>
        <w:b w:val="0"/>
        <w:i w:val="0"/>
        <w:u w:val="none"/>
      </w:rPr>
    </w:lvl>
    <w:lvl w:ilvl="5">
      <w:start w:val="1"/>
      <w:numFmt w:val="lowerRoman"/>
      <w:lvlText w:val="(%6)"/>
      <w:lvlJc w:val="left"/>
      <w:pPr>
        <w:tabs>
          <w:tab w:val="num" w:pos="3403"/>
        </w:tabs>
        <w:ind w:left="3403" w:hanging="680"/>
      </w:pPr>
    </w:lvl>
    <w:lvl w:ilvl="6">
      <w:start w:val="1"/>
      <w:numFmt w:val="upperRoman"/>
      <w:lvlText w:val="(%7)"/>
      <w:lvlJc w:val="left"/>
      <w:pPr>
        <w:tabs>
          <w:tab w:val="num" w:pos="4083"/>
        </w:tabs>
        <w:ind w:left="4083" w:hanging="680"/>
      </w:pPr>
    </w:lvl>
    <w:lvl w:ilvl="7">
      <w:start w:val="1"/>
      <w:numFmt w:val="none"/>
      <w:suff w:val="nothing"/>
      <w:lvlText w:val="(Not Defined)"/>
      <w:lvlJc w:val="left"/>
      <w:pPr>
        <w:tabs>
          <w:tab w:val="num" w:pos="4763"/>
        </w:tabs>
        <w:ind w:left="4763" w:hanging="680"/>
      </w:pPr>
    </w:lvl>
    <w:lvl w:ilvl="8">
      <w:start w:val="1"/>
      <w:numFmt w:val="none"/>
      <w:suff w:val="nothing"/>
      <w:lvlText w:val="(Not Defined)"/>
      <w:lvlJc w:val="left"/>
      <w:pPr>
        <w:tabs>
          <w:tab w:val="num" w:pos="5443"/>
        </w:tabs>
        <w:ind w:left="5443" w:hanging="680"/>
      </w:pPr>
    </w:lvl>
  </w:abstractNum>
  <w:abstractNum w:abstractNumId="4" w15:restartNumberingAfterBreak="0">
    <w:nsid w:val="2D170691"/>
    <w:multiLevelType w:val="multilevel"/>
    <w:tmpl w:val="4E4661C4"/>
    <w:lvl w:ilvl="0">
      <w:start w:val="1"/>
      <w:numFmt w:val="lowerLetter"/>
      <w:pStyle w:val="aBankingDefinition"/>
      <w:lvlText w:val="(%1)"/>
      <w:lvlJc w:val="left"/>
      <w:pPr>
        <w:tabs>
          <w:tab w:val="num" w:pos="1361"/>
        </w:tabs>
        <w:ind w:left="1361" w:hanging="737"/>
      </w:pPr>
    </w:lvl>
    <w:lvl w:ilvl="1">
      <w:start w:val="1"/>
      <w:numFmt w:val="lowerRoman"/>
      <w:lvlText w:val="(%2)"/>
      <w:lvlJc w:val="left"/>
      <w:pPr>
        <w:tabs>
          <w:tab w:val="num" w:pos="2039"/>
        </w:tabs>
        <w:ind w:left="2039" w:hanging="678"/>
      </w:pPr>
    </w:lvl>
    <w:lvl w:ilvl="2">
      <w:start w:val="1"/>
      <w:numFmt w:val="lowerRoman"/>
      <w:lvlText w:val="(%3)"/>
      <w:lvlJc w:val="left"/>
      <w:pPr>
        <w:tabs>
          <w:tab w:val="num" w:pos="4253"/>
        </w:tabs>
        <w:ind w:left="4253" w:hanging="1134"/>
      </w:pPr>
    </w:lvl>
    <w:lvl w:ilvl="3">
      <w:start w:val="1"/>
      <w:numFmt w:val="lowerLetter"/>
      <w:lvlText w:val="(%4)"/>
      <w:lvlJc w:val="left"/>
      <w:pPr>
        <w:tabs>
          <w:tab w:val="num" w:pos="4253"/>
        </w:tabs>
        <w:ind w:left="4253" w:hanging="1134"/>
      </w:pPr>
    </w:lvl>
    <w:lvl w:ilvl="4">
      <w:start w:val="1"/>
      <w:numFmt w:val="none"/>
      <w:suff w:val="nothing"/>
      <w:lvlText w:val=""/>
      <w:lvlJc w:val="left"/>
      <w:pPr>
        <w:tabs>
          <w:tab w:val="num" w:pos="2880"/>
        </w:tabs>
        <w:ind w:left="2232" w:hanging="792"/>
      </w:pPr>
    </w:lvl>
    <w:lvl w:ilvl="5">
      <w:start w:val="1"/>
      <w:numFmt w:val="none"/>
      <w:suff w:val="nothing"/>
      <w:lvlText w:val=""/>
      <w:lvlJc w:val="left"/>
      <w:pPr>
        <w:tabs>
          <w:tab w:val="num" w:pos="3240"/>
        </w:tabs>
        <w:ind w:left="2736" w:hanging="936"/>
      </w:pPr>
    </w:lvl>
    <w:lvl w:ilvl="6">
      <w:start w:val="1"/>
      <w:numFmt w:val="none"/>
      <w:suff w:val="nothing"/>
      <w:lvlText w:val=""/>
      <w:lvlJc w:val="left"/>
      <w:pPr>
        <w:tabs>
          <w:tab w:val="num" w:pos="3960"/>
        </w:tabs>
        <w:ind w:left="3240" w:hanging="1080"/>
      </w:pPr>
    </w:lvl>
    <w:lvl w:ilvl="7">
      <w:start w:val="1"/>
      <w:numFmt w:val="none"/>
      <w:suff w:val="nothing"/>
      <w:lvlText w:val=""/>
      <w:lvlJc w:val="left"/>
      <w:pPr>
        <w:tabs>
          <w:tab w:val="num" w:pos="4680"/>
        </w:tabs>
        <w:ind w:left="3744" w:hanging="1224"/>
      </w:pPr>
    </w:lvl>
    <w:lvl w:ilvl="8">
      <w:start w:val="1"/>
      <w:numFmt w:val="none"/>
      <w:suff w:val="nothing"/>
      <w:lvlText w:val=""/>
      <w:lvlJc w:val="left"/>
      <w:pPr>
        <w:tabs>
          <w:tab w:val="num" w:pos="5040"/>
        </w:tabs>
        <w:ind w:left="4320" w:hanging="1440"/>
      </w:pPr>
    </w:lvl>
  </w:abstractNum>
  <w:abstractNum w:abstractNumId="5" w15:restartNumberingAfterBreak="0">
    <w:nsid w:val="303E7788"/>
    <w:multiLevelType w:val="multilevel"/>
    <w:tmpl w:val="F76A4D94"/>
    <w:lvl w:ilvl="0">
      <w:start w:val="1"/>
      <w:numFmt w:val="none"/>
      <w:pStyle w:val="Body"/>
      <w:suff w:val="nothing"/>
      <w:lvlText w:val=""/>
      <w:lvlJc w:val="left"/>
      <w:pPr>
        <w:tabs>
          <w:tab w:val="num" w:pos="0"/>
        </w:tabs>
        <w:ind w:left="0" w:firstLine="0"/>
      </w:pPr>
      <w:rPr>
        <w:b w:val="0"/>
        <w:i w:val="0"/>
      </w:rPr>
    </w:lvl>
    <w:lvl w:ilvl="1">
      <w:start w:val="1"/>
      <w:numFmt w:val="lowerLetter"/>
      <w:lvlText w:val="(%2)"/>
      <w:lvlJc w:val="left"/>
      <w:pPr>
        <w:tabs>
          <w:tab w:val="num" w:pos="624"/>
        </w:tabs>
        <w:ind w:left="624" w:hanging="624"/>
      </w:pPr>
    </w:lvl>
    <w:lvl w:ilvl="2">
      <w:start w:val="1"/>
      <w:numFmt w:val="lowerRoman"/>
      <w:lvlText w:val="(%3)"/>
      <w:lvlJc w:val="left"/>
      <w:pPr>
        <w:tabs>
          <w:tab w:val="num" w:pos="1361"/>
        </w:tabs>
        <w:ind w:left="1361" w:hanging="737"/>
      </w:pPr>
    </w:lvl>
    <w:lvl w:ilvl="3">
      <w:start w:val="1"/>
      <w:numFmt w:val="bullet"/>
      <w:lvlText w:val=""/>
      <w:lvlJc w:val="left"/>
      <w:pPr>
        <w:tabs>
          <w:tab w:val="num" w:pos="1440"/>
        </w:tabs>
        <w:ind w:left="1440" w:hanging="360"/>
      </w:pPr>
      <w:rPr>
        <w:rFonts w:ascii="Symbol" w:hAnsi="Symbol" w:cs="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7245066"/>
    <w:multiLevelType w:val="multilevel"/>
    <w:tmpl w:val="4A8AF662"/>
    <w:lvl w:ilvl="0">
      <w:start w:val="1"/>
      <w:numFmt w:val="decimal"/>
      <w:pStyle w:val="Schedule"/>
      <w:lvlText w:val="%1"/>
      <w:lvlJc w:val="center"/>
      <w:pPr>
        <w:tabs>
          <w:tab w:val="num" w:pos="0"/>
        </w:tabs>
        <w:ind w:left="0" w:firstLine="0"/>
      </w:pPr>
      <w:rPr>
        <w:vanish/>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57F113B7"/>
    <w:multiLevelType w:val="multilevel"/>
    <w:tmpl w:val="EC88A080"/>
    <w:lvl w:ilvl="0">
      <w:start w:val="1"/>
      <w:numFmt w:val="upperLetter"/>
      <w:pStyle w:val="Background"/>
      <w:lvlText w:val="(%1)"/>
      <w:lvlJc w:val="left"/>
      <w:pPr>
        <w:tabs>
          <w:tab w:val="num" w:pos="1361"/>
        </w:tabs>
        <w:ind w:left="1361" w:hanging="737"/>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A714103"/>
    <w:multiLevelType w:val="multilevel"/>
    <w:tmpl w:val="C4EAEF84"/>
    <w:lvl w:ilvl="0">
      <w:start w:val="1"/>
      <w:numFmt w:val="lowerLetter"/>
      <w:pStyle w:val="abcdDefinition"/>
      <w:lvlText w:val="(%1)"/>
      <w:lvlJc w:val="left"/>
      <w:pPr>
        <w:tabs>
          <w:tab w:val="num" w:pos="0"/>
        </w:tabs>
        <w:ind w:left="851" w:hanging="851"/>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748845CA"/>
    <w:multiLevelType w:val="multilevel"/>
    <w:tmpl w:val="1D860068"/>
    <w:lvl w:ilvl="0">
      <w:start w:val="1"/>
      <w:numFmt w:val="decimal"/>
      <w:pStyle w:val="Section"/>
      <w:lvlText w:val="SECTION %1"/>
      <w:lvlJc w:val="left"/>
      <w:pPr>
        <w:tabs>
          <w:tab w:val="num" w:pos="0"/>
        </w:tabs>
        <w:ind w:left="360" w:hanging="360"/>
      </w:pPr>
      <w:rPr>
        <w:b/>
        <w:i w:val="0"/>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0" w15:restartNumberingAfterBreak="0">
    <w:nsid w:val="7908086C"/>
    <w:multiLevelType w:val="multilevel"/>
    <w:tmpl w:val="9FCCDA54"/>
    <w:lvl w:ilvl="0">
      <w:start w:val="1"/>
      <w:numFmt w:val="bullet"/>
      <w:pStyle w:val="Bullet1"/>
      <w:lvlText w:val=""/>
      <w:lvlJc w:val="left"/>
      <w:pPr>
        <w:tabs>
          <w:tab w:val="num" w:pos="240"/>
        </w:tabs>
        <w:ind w:left="240" w:hanging="240"/>
      </w:pPr>
      <w:rPr>
        <w:rFonts w:ascii="Symbol" w:hAnsi="Symbol" w:cs="Symbol" w:hint="default"/>
        <w:b w:val="0"/>
        <w:i w:val="0"/>
        <w:u w:val="none"/>
      </w:rPr>
    </w:lvl>
    <w:lvl w:ilvl="1">
      <w:start w:val="1"/>
      <w:numFmt w:val="bullet"/>
      <w:pStyle w:val="Bullet2"/>
      <w:lvlText w:val=""/>
      <w:lvlJc w:val="left"/>
      <w:pPr>
        <w:tabs>
          <w:tab w:val="num" w:pos="600"/>
        </w:tabs>
        <w:ind w:left="600" w:hanging="240"/>
      </w:pPr>
      <w:rPr>
        <w:rFonts w:ascii="Symbol" w:hAnsi="Symbol" w:cs="Symbol" w:hint="default"/>
        <w:b w:val="0"/>
        <w:i w:val="0"/>
        <w:u w:val="none"/>
      </w:rPr>
    </w:lvl>
    <w:lvl w:ilvl="2">
      <w:start w:val="1"/>
      <w:numFmt w:val="bullet"/>
      <w:pStyle w:val="Bullet3"/>
      <w:lvlText w:val=""/>
      <w:lvlJc w:val="left"/>
      <w:pPr>
        <w:tabs>
          <w:tab w:val="num" w:pos="960"/>
        </w:tabs>
        <w:ind w:left="960" w:hanging="240"/>
      </w:pPr>
      <w:rPr>
        <w:rFonts w:ascii="Symbol" w:hAnsi="Symbol" w:cs="Symbol" w:hint="default"/>
        <w:b w:val="0"/>
        <w:i w:val="0"/>
        <w:u w:val="none"/>
      </w:rPr>
    </w:lvl>
    <w:lvl w:ilvl="3">
      <w:start w:val="1"/>
      <w:numFmt w:val="lowerLetter"/>
      <w:isLgl/>
      <w:lvlText w:val="%1(Not Defined)"/>
      <w:lvlJc w:val="left"/>
      <w:pPr>
        <w:tabs>
          <w:tab w:val="num" w:pos="4505"/>
        </w:tabs>
        <w:ind w:left="4122" w:hanging="1417"/>
      </w:pPr>
      <w:rPr>
        <w:b w:val="0"/>
        <w:i w:val="0"/>
        <w:u w:val="none"/>
      </w:rPr>
    </w:lvl>
    <w:lvl w:ilvl="4">
      <w:start w:val="1"/>
      <w:numFmt w:val="none"/>
      <w:suff w:val="nothing"/>
      <w:lvlText w:val="(Not Defined)"/>
      <w:lvlJc w:val="left"/>
      <w:pPr>
        <w:tabs>
          <w:tab w:val="num" w:pos="5562"/>
        </w:tabs>
        <w:ind w:left="4689" w:hanging="567"/>
      </w:pPr>
      <w:rPr>
        <w:b w:val="0"/>
        <w:i w:val="0"/>
        <w:u w:val="none"/>
      </w:rPr>
    </w:lvl>
    <w:lvl w:ilvl="5">
      <w:start w:val="1"/>
      <w:numFmt w:val="none"/>
      <w:suff w:val="nothing"/>
      <w:lvlText w:val="(Not Defined)"/>
      <w:lvlJc w:val="left"/>
      <w:pPr>
        <w:tabs>
          <w:tab w:val="num" w:pos="6129"/>
        </w:tabs>
        <w:ind w:left="5256" w:hanging="567"/>
      </w:pPr>
      <w:rPr>
        <w:b w:val="0"/>
        <w:i w:val="0"/>
      </w:rPr>
    </w:lvl>
    <w:lvl w:ilvl="6">
      <w:start w:val="1"/>
      <w:numFmt w:val="none"/>
      <w:suff w:val="nothing"/>
      <w:lvlText w:val="(Not Defined)"/>
      <w:lvlJc w:val="left"/>
      <w:pPr>
        <w:tabs>
          <w:tab w:val="num" w:pos="4320"/>
        </w:tabs>
        <w:ind w:left="3960" w:hanging="1080"/>
      </w:pPr>
      <w:rPr>
        <w:b w:val="0"/>
        <w:i w:val="0"/>
      </w:rPr>
    </w:lvl>
    <w:lvl w:ilvl="7">
      <w:start w:val="1"/>
      <w:numFmt w:val="none"/>
      <w:suff w:val="nothing"/>
      <w:lvlText w:val="(Not Defined)"/>
      <w:lvlJc w:val="left"/>
      <w:pPr>
        <w:tabs>
          <w:tab w:val="num" w:pos="4680"/>
        </w:tabs>
        <w:ind w:left="4464" w:hanging="1224"/>
      </w:pPr>
      <w:rPr>
        <w:b w:val="0"/>
        <w:i w:val="0"/>
      </w:rPr>
    </w:lvl>
    <w:lvl w:ilvl="8">
      <w:start w:val="1"/>
      <w:numFmt w:val="none"/>
      <w:suff w:val="nothing"/>
      <w:lvlText w:val="(Not Defined)"/>
      <w:lvlJc w:val="left"/>
      <w:pPr>
        <w:tabs>
          <w:tab w:val="num" w:pos="5040"/>
        </w:tabs>
        <w:ind w:left="5040" w:hanging="1440"/>
      </w:pPr>
      <w:rPr>
        <w:b w:val="0"/>
        <w:i w:val="0"/>
      </w:rPr>
    </w:lvl>
  </w:abstractNum>
  <w:abstractNum w:abstractNumId="11" w15:restartNumberingAfterBreak="0">
    <w:nsid w:val="7B5E0E09"/>
    <w:multiLevelType w:val="multilevel"/>
    <w:tmpl w:val="1E3A1586"/>
    <w:lvl w:ilvl="0">
      <w:start w:val="1"/>
      <w:numFmt w:val="decimal"/>
      <w:pStyle w:val="Part"/>
      <w:lvlText w:val="Part %1"/>
      <w:lvlJc w:val="left"/>
      <w:pPr>
        <w:tabs>
          <w:tab w:val="num" w:pos="851"/>
        </w:tabs>
        <w:ind w:left="851" w:hanging="851"/>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12" w15:restartNumberingAfterBreak="0">
    <w:nsid w:val="7BF65119"/>
    <w:multiLevelType w:val="multilevel"/>
    <w:tmpl w:val="E3C6A182"/>
    <w:lvl w:ilvl="0">
      <w:start w:val="1"/>
      <w:numFmt w:val="upperRoman"/>
      <w:pStyle w:val="PartBanking"/>
      <w:lvlText w:val="Part %1"/>
      <w:lvlJc w:val="left"/>
      <w:pPr>
        <w:tabs>
          <w:tab w:val="num" w:pos="851"/>
        </w:tabs>
        <w:ind w:left="851" w:hanging="851"/>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num w:numId="1" w16cid:durableId="1562984898">
    <w:abstractNumId w:val="3"/>
  </w:num>
  <w:num w:numId="2" w16cid:durableId="47072953">
    <w:abstractNumId w:val="2"/>
  </w:num>
  <w:num w:numId="3" w16cid:durableId="447815989">
    <w:abstractNumId w:val="8"/>
  </w:num>
  <w:num w:numId="4" w16cid:durableId="159468850">
    <w:abstractNumId w:val="4"/>
  </w:num>
  <w:num w:numId="5" w16cid:durableId="1794446673">
    <w:abstractNumId w:val="7"/>
  </w:num>
  <w:num w:numId="6" w16cid:durableId="62876712">
    <w:abstractNumId w:val="10"/>
  </w:num>
  <w:num w:numId="7" w16cid:durableId="1223756601">
    <w:abstractNumId w:val="1"/>
  </w:num>
  <w:num w:numId="8" w16cid:durableId="793673640">
    <w:abstractNumId w:val="6"/>
  </w:num>
  <w:num w:numId="9" w16cid:durableId="2115440386">
    <w:abstractNumId w:val="5"/>
  </w:num>
  <w:num w:numId="10" w16cid:durableId="135493518">
    <w:abstractNumId w:val="12"/>
  </w:num>
  <w:num w:numId="11" w16cid:durableId="2010714716">
    <w:abstractNumId w:val="11"/>
  </w:num>
  <w:num w:numId="12" w16cid:durableId="887569841">
    <w:abstractNumId w:val="9"/>
  </w:num>
  <w:num w:numId="13" w16cid:durableId="11968887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B47"/>
    <w:rsid w:val="00087CDB"/>
    <w:rsid w:val="0009789C"/>
    <w:rsid w:val="000D22FE"/>
    <w:rsid w:val="00224D3F"/>
    <w:rsid w:val="00245571"/>
    <w:rsid w:val="002B269A"/>
    <w:rsid w:val="002D668B"/>
    <w:rsid w:val="002E330C"/>
    <w:rsid w:val="00387AEE"/>
    <w:rsid w:val="00417A09"/>
    <w:rsid w:val="00436DA7"/>
    <w:rsid w:val="004472FD"/>
    <w:rsid w:val="004C1C76"/>
    <w:rsid w:val="004F42DB"/>
    <w:rsid w:val="00554927"/>
    <w:rsid w:val="005A5416"/>
    <w:rsid w:val="006052E8"/>
    <w:rsid w:val="006138CB"/>
    <w:rsid w:val="006243DD"/>
    <w:rsid w:val="0069715D"/>
    <w:rsid w:val="006A6F70"/>
    <w:rsid w:val="006C2749"/>
    <w:rsid w:val="006F5A2F"/>
    <w:rsid w:val="007312CC"/>
    <w:rsid w:val="00734137"/>
    <w:rsid w:val="00735F2E"/>
    <w:rsid w:val="007A671D"/>
    <w:rsid w:val="00814B47"/>
    <w:rsid w:val="0085111B"/>
    <w:rsid w:val="009014E0"/>
    <w:rsid w:val="00926593"/>
    <w:rsid w:val="00927C1D"/>
    <w:rsid w:val="009427CA"/>
    <w:rsid w:val="00955EE4"/>
    <w:rsid w:val="009A4099"/>
    <w:rsid w:val="009B3101"/>
    <w:rsid w:val="009D55EF"/>
    <w:rsid w:val="00A4698F"/>
    <w:rsid w:val="00A70856"/>
    <w:rsid w:val="00A775B6"/>
    <w:rsid w:val="00A82254"/>
    <w:rsid w:val="00AF23E5"/>
    <w:rsid w:val="00BF4170"/>
    <w:rsid w:val="00C9247B"/>
    <w:rsid w:val="00C92600"/>
    <w:rsid w:val="00D126C3"/>
    <w:rsid w:val="00DA36A4"/>
    <w:rsid w:val="00DA387F"/>
    <w:rsid w:val="00DA444C"/>
    <w:rsid w:val="00DF2C7F"/>
    <w:rsid w:val="00EC05DA"/>
    <w:rsid w:val="00F2272F"/>
  </w:rsids>
  <m:mathPr>
    <m:mathFont m:val="Cambria Math"/>
    <m:brkBin m:val="before"/>
    <m:brkBinSub m:val="--"/>
    <m:smallFrac m:val="0"/>
    <m:dispDef/>
    <m:lMargin m:val="0"/>
    <m:rMargin m:val="0"/>
    <m:defJc m:val="centerGroup"/>
    <m:wrapIndent m:val="1440"/>
    <m:intLim m:val="subSup"/>
    <m:naryLim m:val="undOvr"/>
  </m:mathPr>
  <w:themeFontLang w:val="bg-BG"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FAB29"/>
  <w15:docId w15:val="{65689647-3C48-4A57-B152-71C3280D0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Display" w:eastAsia="Aptos Display" w:hAnsi="Aptos Display" w:cs="Aptos Display"/>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40"/>
      <w:jc w:val="both"/>
    </w:pPr>
  </w:style>
  <w:style w:type="paragraph" w:styleId="Heading1">
    <w:name w:val="heading 1"/>
    <w:basedOn w:val="Body1"/>
    <w:next w:val="Body"/>
    <w:qFormat/>
    <w:pPr>
      <w:numPr>
        <w:numId w:val="1"/>
      </w:numPr>
      <w:outlineLvl w:val="0"/>
    </w:pPr>
    <w:rPr>
      <w:b/>
      <w:caps/>
    </w:rPr>
  </w:style>
  <w:style w:type="paragraph" w:styleId="Heading2">
    <w:name w:val="heading 2"/>
    <w:basedOn w:val="Body2"/>
    <w:next w:val="Body"/>
    <w:qFormat/>
    <w:pPr>
      <w:numPr>
        <w:ilvl w:val="1"/>
        <w:numId w:val="1"/>
      </w:numPr>
      <w:outlineLvl w:val="1"/>
    </w:pPr>
  </w:style>
  <w:style w:type="paragraph" w:styleId="Heading3">
    <w:name w:val="heading 3"/>
    <w:basedOn w:val="Body3"/>
    <w:next w:val="Body"/>
    <w:qFormat/>
    <w:pPr>
      <w:numPr>
        <w:ilvl w:val="2"/>
        <w:numId w:val="1"/>
      </w:numPr>
      <w:outlineLvl w:val="2"/>
    </w:pPr>
  </w:style>
  <w:style w:type="paragraph" w:styleId="Heading4">
    <w:name w:val="heading 4"/>
    <w:basedOn w:val="Body4"/>
    <w:next w:val="Body"/>
    <w:qFormat/>
    <w:pPr>
      <w:numPr>
        <w:ilvl w:val="3"/>
        <w:numId w:val="1"/>
      </w:numPr>
      <w:outlineLvl w:val="3"/>
    </w:pPr>
  </w:style>
  <w:style w:type="paragraph" w:styleId="Heading5">
    <w:name w:val="heading 5"/>
    <w:basedOn w:val="Body5"/>
    <w:next w:val="Body"/>
    <w:qFormat/>
    <w:pPr>
      <w:numPr>
        <w:ilvl w:val="4"/>
        <w:numId w:val="1"/>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rossReference">
    <w:name w:val="Cross Reference"/>
    <w:basedOn w:val="DefaultParagraphFont"/>
    <w:qFormat/>
    <w:rPr>
      <w:b/>
    </w:rPr>
  </w:style>
  <w:style w:type="character" w:customStyle="1" w:styleId="FootnoteCharacters">
    <w:name w:val="Footnote Characters"/>
    <w:basedOn w:val="DefaultParagraphFont"/>
    <w:semiHidden/>
    <w:qFormat/>
    <w:rPr>
      <w:rFonts w:ascii="Times New Roman" w:eastAsia="Times New Roman" w:hAnsi="Times New Roman" w:cs="Times New Roman"/>
      <w:color w:val="auto"/>
      <w:sz w:val="20"/>
      <w:szCs w:val="20"/>
      <w:u w:val="none"/>
      <w:vertAlign w:val="superscript"/>
    </w:rPr>
  </w:style>
  <w:style w:type="character" w:styleId="FootnoteReference">
    <w:name w:val="footnote reference"/>
    <w:rPr>
      <w:rFonts w:ascii="Times New Roman" w:eastAsia="Times New Roman" w:hAnsi="Times New Roman" w:cs="Times New Roman"/>
      <w:color w:val="auto"/>
      <w:sz w:val="20"/>
      <w:szCs w:val="20"/>
      <w:u w:val="none"/>
      <w:vertAlign w:val="superscript"/>
    </w:rPr>
  </w:style>
  <w:style w:type="character" w:customStyle="1" w:styleId="Level1asHeadingtext">
    <w:name w:val="Level 1 as Heading (text)"/>
    <w:basedOn w:val="DefaultParagraphFont"/>
    <w:qFormat/>
    <w:rPr>
      <w:b/>
    </w:rPr>
  </w:style>
  <w:style w:type="character" w:customStyle="1" w:styleId="Level2asHeadingtext">
    <w:name w:val="Level 2 as Heading (text)"/>
    <w:basedOn w:val="DefaultParagraphFont"/>
    <w:qFormat/>
    <w:rPr>
      <w:b/>
    </w:rPr>
  </w:style>
  <w:style w:type="character" w:customStyle="1" w:styleId="Level3asHeadingtext">
    <w:name w:val="Level 3 as Heading (text)"/>
    <w:basedOn w:val="DefaultParagraphFont"/>
    <w:qFormat/>
    <w:rPr>
      <w:b/>
    </w:rPr>
  </w:style>
  <w:style w:type="character" w:styleId="PageNumber">
    <w:name w:val="page number"/>
    <w:basedOn w:val="DefaultParagraphFont"/>
    <w:semiHidden/>
    <w:rPr>
      <w:sz w:val="20"/>
    </w:rPr>
  </w:style>
  <w:style w:type="character" w:customStyle="1" w:styleId="HeaderChar">
    <w:name w:val="Header Char"/>
    <w:basedOn w:val="DefaultParagraphFont"/>
    <w:link w:val="Header"/>
    <w:qFormat/>
    <w:rPr>
      <w:sz w:val="20"/>
    </w:rPr>
  </w:style>
  <w:style w:type="character" w:customStyle="1" w:styleId="FooterChar">
    <w:name w:val="Footer Char"/>
    <w:basedOn w:val="DefaultParagraphFont"/>
    <w:link w:val="Footer"/>
    <w:qFormat/>
    <w:rPr>
      <w:sz w:val="20"/>
    </w:rPr>
  </w:style>
  <w:style w:type="character" w:customStyle="1" w:styleId="FootnoteTextChar">
    <w:name w:val="Footnote Text Char"/>
    <w:basedOn w:val="DefaultParagraphFont"/>
    <w:link w:val="FootnoteText"/>
    <w:semiHidden/>
    <w:qFormat/>
    <w:rPr>
      <w:rFonts w:ascii="Times New Roman" w:eastAsia="Times New Roman" w:hAnsi="Times New Roman" w:cs="Times New Roman"/>
      <w:sz w:val="20"/>
      <w:szCs w:val="20"/>
    </w:rPr>
  </w:style>
  <w:style w:type="character" w:styleId="PlaceholderText">
    <w:name w:val="Placeholder Text"/>
    <w:basedOn w:val="DefaultParagraphFont"/>
    <w:uiPriority w:val="99"/>
    <w:semiHidden/>
    <w:qFormat/>
    <w:rPr>
      <w:color w:val="808080"/>
    </w:rPr>
  </w:style>
  <w:style w:type="character" w:customStyle="1" w:styleId="BodyTextChar">
    <w:name w:val="Body Text Char"/>
    <w:basedOn w:val="DefaultParagraphFont"/>
    <w:link w:val="BodyText"/>
    <w:qFormat/>
    <w:rPr>
      <w:rFonts w:ascii="Arial" w:eastAsiaTheme="minorHAnsi" w:hAnsi="Arial" w:cstheme="minorBidi"/>
      <w:sz w:val="20"/>
      <w:szCs w:val="20"/>
    </w:rPr>
  </w:style>
  <w:style w:type="character" w:customStyle="1" w:styleId="Level2Char">
    <w:name w:val="Level 2 Char"/>
    <w:link w:val="Level2"/>
    <w:qFormat/>
    <w:locked/>
  </w:style>
  <w:style w:type="character" w:styleId="CommentReference">
    <w:name w:val="annotation reference"/>
    <w:basedOn w:val="DefaultParagraphFont"/>
    <w:uiPriority w:val="99"/>
    <w:semiHidden/>
    <w:unhideWhenUsed/>
    <w:qFormat/>
    <w:rsid w:val="00240B18"/>
    <w:rPr>
      <w:sz w:val="16"/>
      <w:szCs w:val="16"/>
    </w:rPr>
  </w:style>
  <w:style w:type="character" w:customStyle="1" w:styleId="CommentTextChar">
    <w:name w:val="Comment Text Char"/>
    <w:basedOn w:val="DefaultParagraphFont"/>
    <w:link w:val="CommentText"/>
    <w:uiPriority w:val="99"/>
    <w:qFormat/>
    <w:rsid w:val="00240B18"/>
    <w:rPr>
      <w:sz w:val="20"/>
      <w:szCs w:val="20"/>
    </w:rPr>
  </w:style>
  <w:style w:type="character" w:customStyle="1" w:styleId="CommentSubjectChar">
    <w:name w:val="Comment Subject Char"/>
    <w:basedOn w:val="CommentTextChar"/>
    <w:link w:val="CommentSubject"/>
    <w:uiPriority w:val="99"/>
    <w:semiHidden/>
    <w:qFormat/>
    <w:rsid w:val="00240B18"/>
    <w:rPr>
      <w:b/>
      <w:bCs/>
      <w:sz w:val="20"/>
      <w:szCs w:val="20"/>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qFormat/>
    <w:rPr>
      <w:rFonts w:ascii="Arial" w:eastAsiaTheme="minorHAnsi" w:hAnsi="Arial" w:cstheme="minorBidi"/>
      <w:sz w:val="20"/>
      <w:szCs w:val="20"/>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customStyle="1" w:styleId="Body">
    <w:name w:val="Body"/>
    <w:basedOn w:val="Normal"/>
    <w:qFormat/>
    <w:pPr>
      <w:numPr>
        <w:numId w:val="9"/>
      </w:numPr>
      <w:tabs>
        <w:tab w:val="left" w:pos="1843"/>
        <w:tab w:val="left" w:pos="3119"/>
        <w:tab w:val="left" w:pos="4253"/>
      </w:tabs>
    </w:pPr>
  </w:style>
  <w:style w:type="paragraph" w:customStyle="1" w:styleId="aDefinition">
    <w:name w:val="(a) Definition"/>
    <w:basedOn w:val="Body"/>
    <w:qFormat/>
    <w:pPr>
      <w:tabs>
        <w:tab w:val="clear" w:pos="1843"/>
        <w:tab w:val="clear" w:pos="3119"/>
        <w:tab w:val="clear" w:pos="4253"/>
      </w:tabs>
    </w:pPr>
  </w:style>
  <w:style w:type="paragraph" w:customStyle="1" w:styleId="abcdDefinition">
    <w:name w:val="(a) (b) (c) (d) Definition"/>
    <w:basedOn w:val="aDefinition"/>
    <w:qFormat/>
    <w:pPr>
      <w:numPr>
        <w:numId w:val="3"/>
      </w:numPr>
      <w:tabs>
        <w:tab w:val="left" w:pos="851"/>
      </w:tabs>
    </w:pPr>
  </w:style>
  <w:style w:type="paragraph" w:customStyle="1" w:styleId="Body1">
    <w:name w:val="Body 1"/>
    <w:basedOn w:val="Body"/>
    <w:qFormat/>
    <w:pPr>
      <w:tabs>
        <w:tab w:val="clear" w:pos="1843"/>
        <w:tab w:val="clear" w:pos="3119"/>
        <w:tab w:val="clear" w:pos="4253"/>
      </w:tabs>
      <w:ind w:left="624"/>
    </w:pPr>
  </w:style>
  <w:style w:type="paragraph" w:customStyle="1" w:styleId="Background">
    <w:name w:val="Background"/>
    <w:basedOn w:val="Body1"/>
    <w:qFormat/>
    <w:pPr>
      <w:numPr>
        <w:numId w:val="5"/>
      </w:numPr>
    </w:pPr>
  </w:style>
  <w:style w:type="paragraph" w:customStyle="1" w:styleId="Body2">
    <w:name w:val="Body 2"/>
    <w:basedOn w:val="Body1"/>
    <w:qFormat/>
  </w:style>
  <w:style w:type="paragraph" w:customStyle="1" w:styleId="Body3">
    <w:name w:val="Body 3"/>
    <w:basedOn w:val="Body2"/>
    <w:qFormat/>
    <w:pPr>
      <w:ind w:left="1361"/>
    </w:pPr>
  </w:style>
  <w:style w:type="paragraph" w:customStyle="1" w:styleId="Body4">
    <w:name w:val="Body 4"/>
    <w:basedOn w:val="Body3"/>
    <w:qFormat/>
    <w:pPr>
      <w:ind w:left="2039"/>
    </w:pPr>
  </w:style>
  <w:style w:type="paragraph" w:customStyle="1" w:styleId="Body5">
    <w:name w:val="Body 5"/>
    <w:basedOn w:val="Body3"/>
    <w:qFormat/>
    <w:pPr>
      <w:ind w:left="2723"/>
    </w:pPr>
  </w:style>
  <w:style w:type="paragraph" w:customStyle="1" w:styleId="Bullet1">
    <w:name w:val="Bullet 1"/>
    <w:basedOn w:val="Body1"/>
    <w:qFormat/>
    <w:pPr>
      <w:numPr>
        <w:numId w:val="6"/>
      </w:numPr>
    </w:pPr>
  </w:style>
  <w:style w:type="paragraph" w:customStyle="1" w:styleId="Bullet2">
    <w:name w:val="Bullet 2"/>
    <w:basedOn w:val="Body2"/>
    <w:qFormat/>
    <w:pPr>
      <w:numPr>
        <w:ilvl w:val="1"/>
        <w:numId w:val="6"/>
      </w:numPr>
    </w:pPr>
  </w:style>
  <w:style w:type="paragraph" w:customStyle="1" w:styleId="Bullet3">
    <w:name w:val="Bullet 3"/>
    <w:basedOn w:val="Body3"/>
    <w:qFormat/>
    <w:pPr>
      <w:numPr>
        <w:ilvl w:val="2"/>
        <w:numId w:val="6"/>
      </w:numPr>
    </w:pPr>
  </w:style>
  <w:style w:type="paragraph" w:customStyle="1" w:styleId="HeaderandFooter">
    <w:name w:val="Header and Footer"/>
    <w:basedOn w:val="Normal"/>
    <w:qFormat/>
  </w:style>
  <w:style w:type="paragraph" w:styleId="Footer">
    <w:name w:val="footer"/>
    <w:basedOn w:val="Normal"/>
    <w:link w:val="FooterChar"/>
    <w:pPr>
      <w:tabs>
        <w:tab w:val="right" w:pos="9072"/>
      </w:tabs>
      <w:spacing w:after="0"/>
    </w:pPr>
    <w:rPr>
      <w:sz w:val="20"/>
    </w:rPr>
  </w:style>
  <w:style w:type="paragraph" w:styleId="FootnoteText">
    <w:name w:val="footnote text"/>
    <w:basedOn w:val="Normal"/>
    <w:link w:val="FootnoteTextChar"/>
    <w:semiHidden/>
    <w:pPr>
      <w:tabs>
        <w:tab w:val="left" w:pos="360"/>
      </w:tabs>
      <w:spacing w:after="60"/>
      <w:ind w:left="360" w:hanging="360"/>
    </w:pPr>
    <w:rPr>
      <w:sz w:val="20"/>
      <w:szCs w:val="20"/>
    </w:rPr>
  </w:style>
  <w:style w:type="paragraph" w:styleId="Header">
    <w:name w:val="header"/>
    <w:basedOn w:val="Normal"/>
    <w:link w:val="HeaderChar"/>
    <w:pPr>
      <w:tabs>
        <w:tab w:val="center" w:pos="4536"/>
        <w:tab w:val="right" w:pos="9072"/>
      </w:tabs>
      <w:spacing w:after="0"/>
    </w:pPr>
    <w:rPr>
      <w:sz w:val="20"/>
    </w:rPr>
  </w:style>
  <w:style w:type="paragraph" w:customStyle="1" w:styleId="Level1">
    <w:name w:val="Level 1"/>
    <w:basedOn w:val="Body1"/>
    <w:qFormat/>
    <w:pPr>
      <w:numPr>
        <w:numId w:val="13"/>
      </w:numPr>
      <w:outlineLvl w:val="0"/>
    </w:pPr>
  </w:style>
  <w:style w:type="paragraph" w:customStyle="1" w:styleId="Level2">
    <w:name w:val="Level 2"/>
    <w:basedOn w:val="Body2"/>
    <w:link w:val="Level2Char"/>
    <w:qFormat/>
    <w:pPr>
      <w:numPr>
        <w:ilvl w:val="1"/>
        <w:numId w:val="13"/>
      </w:numPr>
      <w:outlineLvl w:val="1"/>
    </w:pPr>
  </w:style>
  <w:style w:type="paragraph" w:customStyle="1" w:styleId="Level3">
    <w:name w:val="Level 3"/>
    <w:basedOn w:val="Body3"/>
    <w:qFormat/>
    <w:pPr>
      <w:numPr>
        <w:ilvl w:val="2"/>
        <w:numId w:val="13"/>
      </w:numPr>
      <w:outlineLvl w:val="2"/>
    </w:pPr>
  </w:style>
  <w:style w:type="paragraph" w:customStyle="1" w:styleId="Level4">
    <w:name w:val="Level 4"/>
    <w:basedOn w:val="Body4"/>
    <w:qFormat/>
    <w:pPr>
      <w:numPr>
        <w:ilvl w:val="3"/>
        <w:numId w:val="13"/>
      </w:numPr>
      <w:outlineLvl w:val="3"/>
    </w:pPr>
  </w:style>
  <w:style w:type="paragraph" w:customStyle="1" w:styleId="Level5">
    <w:name w:val="Level 5"/>
    <w:basedOn w:val="Body5"/>
    <w:qFormat/>
    <w:pPr>
      <w:numPr>
        <w:ilvl w:val="4"/>
        <w:numId w:val="13"/>
      </w:numPr>
      <w:outlineLvl w:val="4"/>
    </w:pPr>
  </w:style>
  <w:style w:type="paragraph" w:customStyle="1" w:styleId="Parties">
    <w:name w:val="Parties"/>
    <w:basedOn w:val="Body1"/>
    <w:qFormat/>
    <w:pPr>
      <w:numPr>
        <w:numId w:val="7"/>
      </w:numPr>
    </w:pPr>
  </w:style>
  <w:style w:type="paragraph" w:customStyle="1" w:styleId="Rule5">
    <w:name w:val="Rule 5"/>
    <w:basedOn w:val="Body5"/>
    <w:semiHidden/>
    <w:qFormat/>
    <w:pPr>
      <w:numPr>
        <w:ilvl w:val="4"/>
        <w:numId w:val="2"/>
      </w:numPr>
    </w:pPr>
  </w:style>
  <w:style w:type="paragraph" w:customStyle="1" w:styleId="Schedule">
    <w:name w:val="Schedule"/>
    <w:basedOn w:val="Normal"/>
    <w:semiHidden/>
    <w:qFormat/>
    <w:pPr>
      <w:keepNext/>
      <w:numPr>
        <w:numId w:val="8"/>
      </w:numPr>
      <w:ind w:left="-567"/>
      <w:jc w:val="center"/>
    </w:pPr>
    <w:rPr>
      <w:b/>
      <w:caps/>
    </w:rPr>
  </w:style>
  <w:style w:type="paragraph" w:customStyle="1" w:styleId="ScheduleTitle">
    <w:name w:val="Schedule Title"/>
    <w:basedOn w:val="Body"/>
    <w:qFormat/>
    <w:pPr>
      <w:keepNext/>
      <w:tabs>
        <w:tab w:val="clear" w:pos="1843"/>
        <w:tab w:val="clear" w:pos="3119"/>
        <w:tab w:val="clear" w:pos="4253"/>
      </w:tabs>
      <w:spacing w:after="480"/>
      <w:jc w:val="center"/>
    </w:pPr>
    <w:rPr>
      <w:b/>
    </w:rPr>
  </w:style>
  <w:style w:type="paragraph" w:customStyle="1" w:styleId="aBankingDefinition">
    <w:name w:val="(a) Banking Definition"/>
    <w:basedOn w:val="Body"/>
    <w:qFormat/>
    <w:pPr>
      <w:numPr>
        <w:numId w:val="4"/>
      </w:numPr>
      <w:tabs>
        <w:tab w:val="clear" w:pos="3119"/>
        <w:tab w:val="clear" w:pos="4253"/>
      </w:tabs>
    </w:pPr>
  </w:style>
  <w:style w:type="paragraph" w:customStyle="1" w:styleId="Sideheading">
    <w:name w:val="Sideheading"/>
    <w:basedOn w:val="Body"/>
    <w:qFormat/>
    <w:pPr>
      <w:tabs>
        <w:tab w:val="clear" w:pos="1843"/>
        <w:tab w:val="clear" w:pos="3119"/>
        <w:tab w:val="clear" w:pos="4253"/>
      </w:tabs>
    </w:pPr>
    <w:rPr>
      <w:b/>
      <w:caps/>
    </w:rPr>
  </w:style>
  <w:style w:type="paragraph" w:customStyle="1" w:styleId="iBankingDefinition">
    <w:name w:val="(i) Banking Definition"/>
    <w:basedOn w:val="aBankingDefinition"/>
    <w:qFormat/>
    <w:pPr>
      <w:tabs>
        <w:tab w:val="clear" w:pos="1843"/>
      </w:tabs>
    </w:pPr>
  </w:style>
  <w:style w:type="paragraph" w:styleId="TOC1">
    <w:name w:val="toc 1"/>
    <w:basedOn w:val="Body"/>
    <w:next w:val="Normal"/>
    <w:uiPriority w:val="39"/>
    <w:pPr>
      <w:numPr>
        <w:numId w:val="0"/>
      </w:numPr>
      <w:tabs>
        <w:tab w:val="clear" w:pos="1843"/>
        <w:tab w:val="clear" w:pos="3119"/>
        <w:tab w:val="clear" w:pos="4253"/>
        <w:tab w:val="right" w:leader="dot" w:pos="9066"/>
      </w:tabs>
      <w:spacing w:after="60"/>
      <w:ind w:left="851" w:right="851" w:hanging="851"/>
    </w:pPr>
    <w:rPr>
      <w:caps/>
    </w:rPr>
  </w:style>
  <w:style w:type="paragraph" w:styleId="TOC2">
    <w:name w:val="toc 2"/>
    <w:basedOn w:val="TOC1"/>
    <w:next w:val="Normal"/>
    <w:uiPriority w:val="39"/>
    <w:pPr>
      <w:tabs>
        <w:tab w:val="left" w:pos="1680"/>
      </w:tabs>
      <w:ind w:left="1679" w:hanging="828"/>
    </w:pPr>
    <w:rPr>
      <w:caps w:val="0"/>
    </w:rPr>
  </w:style>
  <w:style w:type="paragraph" w:styleId="TOC3">
    <w:name w:val="toc 3"/>
    <w:basedOn w:val="TOC1"/>
    <w:next w:val="Normal"/>
    <w:rPr>
      <w:caps w:val="0"/>
    </w:rPr>
  </w:style>
  <w:style w:type="paragraph" w:styleId="TOC4">
    <w:name w:val="toc 4"/>
    <w:basedOn w:val="TOC1"/>
    <w:next w:val="Normal"/>
    <w:pPr>
      <w:keepNext/>
    </w:pPr>
    <w:rPr>
      <w:b/>
      <w:caps w:val="0"/>
    </w:rPr>
  </w:style>
  <w:style w:type="paragraph" w:styleId="TOC5">
    <w:name w:val="toc 5"/>
    <w:basedOn w:val="TOC1"/>
    <w:next w:val="Normal"/>
    <w:semiHidden/>
    <w:pPr>
      <w:ind w:firstLine="0"/>
    </w:pPr>
    <w:rPr>
      <w:caps w:val="0"/>
    </w:rPr>
  </w:style>
  <w:style w:type="paragraph" w:styleId="TOC6">
    <w:name w:val="toc 6"/>
    <w:basedOn w:val="TOC1"/>
    <w:next w:val="Normal"/>
    <w:semiHidden/>
    <w:pPr>
      <w:ind w:left="2835" w:hanging="1134"/>
    </w:pPr>
    <w:rPr>
      <w:caps w:val="0"/>
    </w:rPr>
  </w:style>
  <w:style w:type="paragraph" w:customStyle="1" w:styleId="FootnoteTextContinuation">
    <w:name w:val="Footnote Text Continuation"/>
    <w:basedOn w:val="FootnoteText"/>
    <w:qFormat/>
    <w:pPr>
      <w:ind w:firstLine="0"/>
    </w:pPr>
  </w:style>
  <w:style w:type="paragraph" w:customStyle="1" w:styleId="Part">
    <w:name w:val="Part"/>
    <w:basedOn w:val="Normal"/>
    <w:qFormat/>
    <w:pPr>
      <w:numPr>
        <w:numId w:val="11"/>
      </w:numPr>
    </w:pPr>
    <w:rPr>
      <w:b/>
    </w:rPr>
  </w:style>
  <w:style w:type="paragraph" w:customStyle="1" w:styleId="iDefinition">
    <w:name w:val="(i) Definition"/>
    <w:basedOn w:val="Body"/>
    <w:qFormat/>
    <w:pPr>
      <w:tabs>
        <w:tab w:val="clear" w:pos="3119"/>
        <w:tab w:val="clear" w:pos="4253"/>
      </w:tabs>
    </w:pPr>
  </w:style>
  <w:style w:type="paragraph" w:customStyle="1" w:styleId="Contentheading">
    <w:name w:val="Content heading"/>
    <w:basedOn w:val="Normal"/>
    <w:next w:val="Body"/>
    <w:qFormat/>
    <w:pPr>
      <w:pageBreakBefore/>
      <w:pBdr>
        <w:bottom w:val="single" w:sz="4" w:space="1" w:color="000000"/>
      </w:pBdr>
      <w:spacing w:after="2200"/>
    </w:pPr>
    <w:rPr>
      <w:sz w:val="40"/>
      <w:szCs w:val="40"/>
    </w:rPr>
  </w:style>
  <w:style w:type="paragraph" w:customStyle="1" w:styleId="Contentpage">
    <w:name w:val="Content page"/>
    <w:basedOn w:val="Body"/>
    <w:qFormat/>
    <w:pPr>
      <w:tabs>
        <w:tab w:val="clear" w:pos="1843"/>
        <w:tab w:val="clear" w:pos="3119"/>
        <w:tab w:val="clear" w:pos="4253"/>
        <w:tab w:val="right" w:pos="9072"/>
      </w:tabs>
    </w:pPr>
    <w:rPr>
      <w:b/>
    </w:rPr>
  </w:style>
  <w:style w:type="paragraph" w:customStyle="1" w:styleId="ExtraInfo">
    <w:name w:val="ExtraInfo"/>
    <w:basedOn w:val="Normal"/>
    <w:qFormat/>
    <w:pPr>
      <w:shd w:val="clear" w:color="auto" w:fill="FFFFFF"/>
    </w:pPr>
    <w:rPr>
      <w:sz w:val="20"/>
      <w:szCs w:val="20"/>
    </w:rPr>
  </w:style>
  <w:style w:type="paragraph" w:styleId="ListParagraph">
    <w:name w:val="List Paragraph"/>
    <w:basedOn w:val="Normal"/>
    <w:uiPriority w:val="34"/>
    <w:qFormat/>
    <w:pPr>
      <w:ind w:left="720"/>
      <w:contextualSpacing/>
    </w:pPr>
  </w:style>
  <w:style w:type="paragraph" w:customStyle="1" w:styleId="Level6">
    <w:name w:val="Level 6"/>
    <w:basedOn w:val="Level5"/>
    <w:qFormat/>
    <w:pPr>
      <w:outlineLvl w:val="5"/>
    </w:pPr>
  </w:style>
  <w:style w:type="paragraph" w:customStyle="1" w:styleId="Level7">
    <w:name w:val="Level 7"/>
    <w:basedOn w:val="Normal"/>
    <w:qFormat/>
    <w:pPr>
      <w:numPr>
        <w:ilvl w:val="6"/>
        <w:numId w:val="13"/>
      </w:numPr>
      <w:outlineLvl w:val="6"/>
    </w:pPr>
  </w:style>
  <w:style w:type="paragraph" w:customStyle="1" w:styleId="Body6">
    <w:name w:val="Body 6"/>
    <w:basedOn w:val="Body5"/>
    <w:qFormat/>
    <w:pPr>
      <w:ind w:left="3403"/>
    </w:pPr>
  </w:style>
  <w:style w:type="paragraph" w:customStyle="1" w:styleId="Body7">
    <w:name w:val="Body 7"/>
    <w:basedOn w:val="Body6"/>
    <w:qFormat/>
    <w:pPr>
      <w:ind w:left="4083"/>
    </w:pPr>
  </w:style>
  <w:style w:type="paragraph" w:customStyle="1" w:styleId="PartBanking">
    <w:name w:val="Part (Banking)"/>
    <w:basedOn w:val="Body"/>
    <w:qFormat/>
    <w:pPr>
      <w:numPr>
        <w:numId w:val="10"/>
      </w:numPr>
      <w:tabs>
        <w:tab w:val="left" w:pos="1134"/>
      </w:tabs>
      <w:jc w:val="center"/>
    </w:pPr>
    <w:rPr>
      <w:b/>
    </w:rPr>
  </w:style>
  <w:style w:type="paragraph" w:customStyle="1" w:styleId="Section">
    <w:name w:val="Section"/>
    <w:basedOn w:val="Body"/>
    <w:next w:val="Body"/>
    <w:qFormat/>
    <w:pPr>
      <w:numPr>
        <w:numId w:val="12"/>
      </w:numPr>
      <w:jc w:val="center"/>
    </w:pPr>
    <w:rPr>
      <w:b/>
    </w:rPr>
  </w:style>
  <w:style w:type="paragraph" w:styleId="Title">
    <w:name w:val="Title"/>
    <w:basedOn w:val="Body"/>
    <w:next w:val="Body"/>
    <w:qFormat/>
    <w:pPr>
      <w:keepNext/>
      <w:numPr>
        <w:numId w:val="0"/>
      </w:numPr>
      <w:tabs>
        <w:tab w:val="clear" w:pos="1843"/>
        <w:tab w:val="clear" w:pos="3119"/>
        <w:tab w:val="clear" w:pos="4253"/>
      </w:tabs>
      <w:spacing w:after="480"/>
      <w:jc w:val="center"/>
    </w:pPr>
    <w:rPr>
      <w:b/>
      <w:sz w:val="32"/>
      <w:szCs w:val="32"/>
    </w:rPr>
  </w:style>
  <w:style w:type="paragraph" w:styleId="CommentText">
    <w:name w:val="annotation text"/>
    <w:basedOn w:val="Normal"/>
    <w:link w:val="CommentTextChar"/>
    <w:uiPriority w:val="99"/>
    <w:unhideWhenUsed/>
    <w:rsid w:val="00240B18"/>
    <w:rPr>
      <w:sz w:val="20"/>
      <w:szCs w:val="20"/>
    </w:rPr>
  </w:style>
  <w:style w:type="paragraph" w:styleId="CommentSubject">
    <w:name w:val="annotation subject"/>
    <w:basedOn w:val="CommentText"/>
    <w:next w:val="CommentText"/>
    <w:link w:val="CommentSubjectChar"/>
    <w:uiPriority w:val="99"/>
    <w:semiHidden/>
    <w:unhideWhenUsed/>
    <w:qFormat/>
    <w:rsid w:val="00240B18"/>
    <w:rPr>
      <w:b/>
      <w:bCs/>
    </w:rPr>
  </w:style>
  <w:style w:type="paragraph" w:styleId="Revision">
    <w:name w:val="Revision"/>
    <w:hidden/>
    <w:uiPriority w:val="99"/>
    <w:semiHidden/>
    <w:rsid w:val="004472FD"/>
    <w:pPr>
      <w:suppressAutoHyphens w:val="0"/>
    </w:pPr>
  </w:style>
  <w:style w:type="character" w:styleId="Strong">
    <w:name w:val="Strong"/>
    <w:basedOn w:val="DefaultParagraphFont"/>
    <w:uiPriority w:val="22"/>
    <w:qFormat/>
    <w:rsid w:val="00417A0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2.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738AF46C62F87468CD75A32671D3B52" ma:contentTypeVersion="12" ma:contentTypeDescription="Създаване на нов документ" ma:contentTypeScope="" ma:versionID="212fb14ef5a953950ed829d96c207915">
  <xsd:schema xmlns:xsd="http://www.w3.org/2001/XMLSchema" xmlns:xs="http://www.w3.org/2001/XMLSchema" xmlns:p="http://schemas.microsoft.com/office/2006/metadata/properties" xmlns:ns2="fe883f35-7d40-4eea-a2f2-ce9f5b26eb70" xmlns:ns3="fe267b32-f959-4518-82e5-a98f9028721d" targetNamespace="http://schemas.microsoft.com/office/2006/metadata/properties" ma:root="true" ma:fieldsID="f0c0da61dab81e5bb62ad95c1dad2cd0" ns2:_="" ns3:_="">
    <xsd:import namespace="fe883f35-7d40-4eea-a2f2-ce9f5b26eb70"/>
    <xsd:import namespace="fe267b32-f959-4518-82e5-a98f9028721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883f35-7d40-4eea-a2f2-ce9f5b26eb7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3406fc3d-8095-4a30-a894-8eab93b18a0e"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e267b32-f959-4518-82e5-a98f9028721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d2d3374-d2d4-4756-9f28-7ba3c516e2dd}" ma:internalName="TaxCatchAll" ma:showField="CatchAllData" ma:web="fe267b32-f959-4518-82e5-a98f902872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e267b32-f959-4518-82e5-a98f9028721d" xsi:nil="true"/>
    <lcf76f155ced4ddcb4097134ff3c332f xmlns="fe883f35-7d40-4eea-a2f2-ce9f5b26eb7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A9C-26B7-470D-B28F-40CF8BD7BDD4}">
  <ds:schemaRefs>
    <ds:schemaRef ds:uri="http://schemas.microsoft.com/sharepoint/v3/contenttype/forms"/>
  </ds:schemaRefs>
</ds:datastoreItem>
</file>

<file path=customXml/itemProps2.xml><?xml version="1.0" encoding="utf-8"?>
<ds:datastoreItem xmlns:ds="http://schemas.openxmlformats.org/officeDocument/2006/customXml" ds:itemID="{20FE1965-90A3-421A-BC1F-2BAACE472DC3}"/>
</file>

<file path=customXml/itemProps3.xml><?xml version="1.0" encoding="utf-8"?>
<ds:datastoreItem xmlns:ds="http://schemas.openxmlformats.org/officeDocument/2006/customXml" ds:itemID="{B03FA9E6-8EEE-4C1F-98D7-1B78AFA302F6}">
  <ds:schemaRefs>
    <ds:schemaRef ds:uri="http://schemas.microsoft.com/office/2006/metadata/properties"/>
    <ds:schemaRef ds:uri="http://schemas.microsoft.com/office/infopath/2007/PartnerControls"/>
    <ds:schemaRef ds:uri="fe267b32-f959-4518-82e5-a98f9028721d"/>
    <ds:schemaRef ds:uri="fe883f35-7d40-4eea-a2f2-ce9f5b26eb7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5476</Words>
  <Characters>31217</Characters>
  <Application>Microsoft Office Word</Application>
  <DocSecurity>0</DocSecurity>
  <Lines>260</Lines>
  <Paragraphs>73</Paragraphs>
  <ScaleCrop>false</ScaleCrop>
  <Company/>
  <LinksUpToDate>false</LinksUpToDate>
  <CharactersWithSpaces>36620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Darina Stancheva</dc:creator>
  <dc:description/>
  <cp:lastModifiedBy>Viktoria Penkova</cp:lastModifiedBy>
  <cp:revision>2</cp:revision>
  <dcterms:created xsi:type="dcterms:W3CDTF">2026-10-17T12:32:00Z</dcterms:created>
  <dcterms:modified xsi:type="dcterms:W3CDTF">2026-10-17T12:32:00Z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0x0101008738AF46C62F87468CD75A32671D3B52</vt:lpwstr>
  </property>
  <property fmtid="{D5CDD505-2E9C-101B-9397-08002B2CF9AE}" pid="3" name="MediaServiceImageTags">
    <vt:lpwstr/>
  </property>
</Properties>
</file>