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23D97" w14:textId="4EACF7E4" w:rsidR="00814B47" w:rsidRDefault="00814B47">
      <w:pPr>
        <w:pStyle w:val="Title"/>
        <w:rPr>
          <w:rFonts w:asciiTheme="minorHAnsi" w:hAnsiTheme="minorHAnsi" w:cstheme="minorHAnsi"/>
          <w:sz w:val="22"/>
          <w:szCs w:val="22"/>
          <w:lang w:val="bg-BG"/>
        </w:rPr>
      </w:pPr>
    </w:p>
    <w:p w14:paraId="4E01825A" w14:textId="77777777" w:rsidR="00814B47" w:rsidRDefault="00C9247B">
      <w:pPr>
        <w:jc w:val="center"/>
        <w:rPr>
          <w:b/>
          <w:bCs/>
          <w:lang w:val="bg-BG"/>
        </w:rPr>
      </w:pPr>
      <w:r>
        <w:rPr>
          <w:b/>
          <w:bCs/>
          <w:lang w:val="bg-BG"/>
        </w:rPr>
        <w:t>ОБЩИ УСЛОВИЯ ЗА ПОЛЗВАНЕ НА УЕБСАЙТА bscl.bg И ЗА ОНЛАЙН ПЛАЩАНИЯ С БАНКОВИ КАРТИ</w:t>
      </w:r>
    </w:p>
    <w:p w14:paraId="358EDC45" w14:textId="77777777" w:rsidR="00814B47" w:rsidRDefault="00C9247B">
      <w:pPr>
        <w:rPr>
          <w:b/>
          <w:bCs/>
          <w:lang w:val="bg-BG"/>
        </w:rPr>
      </w:pPr>
      <w:r>
        <w:rPr>
          <w:b/>
          <w:bCs/>
          <w:lang w:val="bg-BG"/>
        </w:rPr>
        <w:t>Моля, прочетете внимателно настоящите Общи условия за ползване на уебсайта bscl.bg и за онлайн плащания с банкови карти („Общите условия“), както и Уведомлението за поверителност на Сдружението, преди да използвате Уебсайта или да извършите Поръчка. Когато Поръчката се отнася до участие в събитие, към нея се прилагат и Условията на съответното събитие. Преди потвърждаване на Поръчката ще бъдете помолени да отбележите в отделни полета, че приемате Общите условия и Условията на събитието (когато е приложимо) и че сте запознат/а с Уведомлението за поверителност, и да натиснете бутона „Поръчка със задължение за плащане“ или друг равностоен бутон (т. 3а.2 и т. 5.1). След извършване на това отбелязване се счита, че сте запознат/а с Общите условия и Условията на събитието, приемате ги и се задължавате да ги спазвате.</w:t>
      </w:r>
    </w:p>
    <w:p w14:paraId="1423071D" w14:textId="5285F520" w:rsidR="00814B47" w:rsidRDefault="00C9247B">
      <w:pPr>
        <w:rPr>
          <w:b/>
          <w:bCs/>
          <w:lang w:val="bg-BG"/>
        </w:rPr>
      </w:pPr>
      <w:r>
        <w:rPr>
          <w:b/>
          <w:bCs/>
          <w:lang w:val="bg-BG"/>
        </w:rPr>
        <w:t>Раздел I. Общи положения и информация за Сдружението</w:t>
      </w:r>
    </w:p>
    <w:p w14:paraId="654FD8A9" w14:textId="56D4D56B" w:rsidR="00814B47" w:rsidRDefault="00C9247B">
      <w:pPr>
        <w:rPr>
          <w:lang w:val="bg-BG"/>
        </w:rPr>
      </w:pPr>
      <w:r>
        <w:rPr>
          <w:b/>
          <w:bCs/>
          <w:lang w:val="bg-BG"/>
        </w:rPr>
        <w:t>1.1.</w:t>
      </w:r>
      <w:r>
        <w:rPr>
          <w:lang w:val="bg-BG"/>
        </w:rPr>
        <w:t xml:space="preserve"> Настоящите Общи условия уреждат отношенията между Сдружение „Българско общество по строително право“ (наричано по-долу „Сдружението“ или „БОСП“) и всяко лице (наричано по-долу „Потребител“), което използва уебсайта https://bscl.bg (наричан в тези Общи условия „Уебсайта“) и/или заплаща чрез него членски внос, такси за участие в конференции, семинари и други събития, или други услуги, предлагани от Сдружението (наричани по-долу „Услугите“).</w:t>
      </w:r>
    </w:p>
    <w:p w14:paraId="272D790D" w14:textId="77777777" w:rsidR="00814B47" w:rsidRDefault="00C9247B">
      <w:pPr>
        <w:rPr>
          <w:lang w:val="bg-BG"/>
        </w:rPr>
      </w:pPr>
      <w:r>
        <w:rPr>
          <w:b/>
          <w:bCs/>
          <w:lang w:val="bg-BG"/>
        </w:rPr>
        <w:t>1.2.</w:t>
      </w:r>
      <w:r>
        <w:rPr>
          <w:lang w:val="bg-BG"/>
        </w:rPr>
        <w:t xml:space="preserve"> Информация по чл. 4 от Закона за електронната търговия и чл. 47 от Закона за защита на потребителите:</w:t>
      </w:r>
    </w:p>
    <w:p w14:paraId="2E61662F" w14:textId="77777777" w:rsidR="00814B47" w:rsidRDefault="00C9247B">
      <w:pPr>
        <w:rPr>
          <w:lang w:val="bg-BG"/>
        </w:rPr>
      </w:pPr>
      <w:r>
        <w:rPr>
          <w:lang w:val="bg-BG"/>
        </w:rPr>
        <w:t>• Наименование: Сдружение „Българско общество по строително право“, юридическо лице с нестопанска цел, регистрирано в Регистъра на юридическите лица с нестопанска цел към Агенцията по вписванията;</w:t>
      </w:r>
    </w:p>
    <w:p w14:paraId="4A609FE1" w14:textId="77777777" w:rsidR="00814B47" w:rsidRDefault="00C9247B">
      <w:pPr>
        <w:rPr>
          <w:lang w:val="bg-BG"/>
        </w:rPr>
      </w:pPr>
      <w:r>
        <w:rPr>
          <w:lang w:val="bg-BG"/>
        </w:rPr>
        <w:t>• ЕИК: 176873823;</w:t>
      </w:r>
    </w:p>
    <w:p w14:paraId="3855D885" w14:textId="77777777" w:rsidR="00814B47" w:rsidRDefault="00C9247B">
      <w:pPr>
        <w:rPr>
          <w:lang w:val="bg-BG"/>
        </w:rPr>
      </w:pPr>
      <w:r>
        <w:rPr>
          <w:lang w:val="bg-BG"/>
        </w:rPr>
        <w:t>• Седалище и адрес на управление: гр. София 1164, р-н Лозенец, бул. „Христо Смирненски“ № 1, корпус Б, ет. 10, офис 1038;</w:t>
      </w:r>
    </w:p>
    <w:p w14:paraId="2E955BDC" w14:textId="77777777" w:rsidR="00814B47" w:rsidRDefault="00C9247B">
      <w:pPr>
        <w:rPr>
          <w:lang w:val="bg-BG"/>
        </w:rPr>
      </w:pPr>
      <w:r>
        <w:rPr>
          <w:lang w:val="bg-BG"/>
        </w:rPr>
        <w:t>• Адрес за кореспонденция и за подаване на рекламации: гр. София, ул. „Христо Белчев“ № 9, ет. 2 (над партера);</w:t>
      </w:r>
    </w:p>
    <w:p w14:paraId="4C6565CF" w14:textId="77777777" w:rsidR="00814B47" w:rsidRDefault="00C9247B">
      <w:pPr>
        <w:rPr>
          <w:lang w:val="bg-BG"/>
        </w:rPr>
      </w:pPr>
      <w:r>
        <w:rPr>
          <w:lang w:val="bg-BG"/>
        </w:rPr>
        <w:t>• Електронна поща: info@bscl.bg; телефон: +359 2 986 7907;</w:t>
      </w:r>
    </w:p>
    <w:p w14:paraId="6A617FC8" w14:textId="77777777" w:rsidR="00814B47" w:rsidRDefault="00C9247B">
      <w:pPr>
        <w:rPr>
          <w:lang w:val="bg-BG"/>
        </w:rPr>
      </w:pPr>
      <w:r>
        <w:rPr>
          <w:lang w:val="bg-BG"/>
        </w:rPr>
        <w:t>• Представляващ: Виктория Пенкова, Председател на Управителния съвет;</w:t>
      </w:r>
    </w:p>
    <w:p w14:paraId="1236E0DC" w14:textId="59408798" w:rsidR="00814B47" w:rsidRDefault="00C9247B">
      <w:pPr>
        <w:rPr>
          <w:lang w:val="bg-BG"/>
        </w:rPr>
      </w:pPr>
      <w:r>
        <w:rPr>
          <w:lang w:val="bg-BG"/>
        </w:rPr>
        <w:t>• Идентификационен номер по ЗДДС: BG176873823.</w:t>
      </w:r>
    </w:p>
    <w:p w14:paraId="092AC241" w14:textId="77777777" w:rsidR="00814B47" w:rsidRDefault="00C9247B">
      <w:pPr>
        <w:rPr>
          <w:lang w:val="bg-BG"/>
        </w:rPr>
      </w:pPr>
      <w:r>
        <w:rPr>
          <w:b/>
          <w:bCs/>
          <w:lang w:val="bg-BG"/>
        </w:rPr>
        <w:t>1.3.</w:t>
      </w:r>
      <w:r>
        <w:rPr>
          <w:lang w:val="bg-BG"/>
        </w:rPr>
        <w:t xml:space="preserve"> Надзорни органи: Комисия за защита на потребителите (гр. София 1000, пл. „Славейков“ № 4А, www.kzp.bg); Комисия за защита на личните данни (гр. София 1592, бул. „Проф. Цветан Лазаров“ № 2, www.cpdp.bg).</w:t>
      </w:r>
    </w:p>
    <w:p w14:paraId="370A354E" w14:textId="77777777" w:rsidR="00814B47" w:rsidRDefault="00C9247B">
      <w:pPr>
        <w:rPr>
          <w:lang w:val="bg-BG"/>
        </w:rPr>
      </w:pPr>
      <w:r>
        <w:rPr>
          <w:b/>
          <w:bCs/>
          <w:lang w:val="bg-BG"/>
        </w:rPr>
        <w:t>1.4.</w:t>
      </w:r>
      <w:r>
        <w:rPr>
          <w:lang w:val="bg-BG"/>
        </w:rPr>
        <w:t xml:space="preserve"> С използването на Уебсайта и/или с извършването на плащане чрез него Потребителят декларира, че се е запознал с настоящите Общи условия, приема ги и се задължава да ги спазва. Когато Потребителят извършва Поръчка, приемането на Общите условия се извършва изрично </w:t>
      </w:r>
      <w:r>
        <w:rPr>
          <w:lang w:val="bg-BG"/>
        </w:rPr>
        <w:lastRenderedPageBreak/>
        <w:t>по реда на т. 3а.2. Общите условия са достъпни на Уебсайта по начин, който позволява тяхното съхраняване и възпроизвеждане.</w:t>
      </w:r>
    </w:p>
    <w:p w14:paraId="31DF50F2" w14:textId="77777777" w:rsidR="00814B47" w:rsidRDefault="00C9247B">
      <w:pPr>
        <w:rPr>
          <w:b/>
          <w:bCs/>
          <w:lang w:val="bg-BG"/>
        </w:rPr>
      </w:pPr>
      <w:r>
        <w:rPr>
          <w:b/>
          <w:bCs/>
          <w:lang w:val="bg-BG"/>
        </w:rPr>
        <w:t>Раздел II. Определения</w:t>
      </w:r>
    </w:p>
    <w:p w14:paraId="7DFA4919" w14:textId="77777777" w:rsidR="00814B47" w:rsidRDefault="00C9247B">
      <w:pPr>
        <w:rPr>
          <w:lang w:val="bg-BG"/>
        </w:rPr>
      </w:pPr>
      <w:r>
        <w:rPr>
          <w:b/>
          <w:bCs/>
          <w:lang w:val="bg-BG"/>
        </w:rPr>
        <w:t>2.1.</w:t>
      </w:r>
      <w:r>
        <w:rPr>
          <w:lang w:val="bg-BG"/>
        </w:rPr>
        <w:t xml:space="preserve"> „Потребител“ – всяко физическо или юридическо лице, което използва Уебсайта. Когато физическо лице сключва договор извън рамките на своята търговска или професионална дейност, то има и качеството „потребител“ по смисъла на § 13, ал. 1, т. 1 от Допълнителните разпоредби на Закона за защита на потребителите (ЗЗП). Потребител, който се регистрира за участие в събитие, има качеството на „Участник“ по смисъла на Условията на съответното събитие.</w:t>
      </w:r>
    </w:p>
    <w:p w14:paraId="02CA9B50" w14:textId="77777777" w:rsidR="00814B47" w:rsidRDefault="00C9247B">
      <w:pPr>
        <w:rPr>
          <w:lang w:val="bg-BG"/>
        </w:rPr>
      </w:pPr>
      <w:r>
        <w:rPr>
          <w:b/>
          <w:bCs/>
          <w:lang w:val="bg-BG"/>
        </w:rPr>
        <w:t>2.2.</w:t>
      </w:r>
      <w:r>
        <w:rPr>
          <w:lang w:val="bg-BG"/>
        </w:rPr>
        <w:t xml:space="preserve"> „Поръчка“ – електронно изявление на Потребителя, направено чрез Уебсайта, за заплащане на членски внос, регистрация за участие в събитие или заявяване на друга Услуга.</w:t>
      </w:r>
    </w:p>
    <w:p w14:paraId="34997170" w14:textId="77777777" w:rsidR="00814B47" w:rsidRDefault="00C9247B">
      <w:pPr>
        <w:rPr>
          <w:lang w:val="bg-BG"/>
        </w:rPr>
      </w:pPr>
      <w:r>
        <w:rPr>
          <w:b/>
          <w:bCs/>
          <w:lang w:val="bg-BG"/>
        </w:rPr>
        <w:t>2.3.</w:t>
      </w:r>
      <w:r>
        <w:rPr>
          <w:lang w:val="bg-BG"/>
        </w:rPr>
        <w:t xml:space="preserve"> „Доставчик на платежни услуги“ – „УниКредит Булбанк“ АД, ЕИК 831919536, със седалище и адрес на управление: гр. София, район „Възраждане“, пл. „Света Неделя“ № 7, чрез чийто виртуален ПОС терминал се обработват плащанията с банкови карти на Уебсайта.</w:t>
      </w:r>
    </w:p>
    <w:p w14:paraId="04D6A027" w14:textId="77777777" w:rsidR="00814B47" w:rsidRDefault="00C9247B">
      <w:pPr>
        <w:rPr>
          <w:lang w:val="bg-BG"/>
        </w:rPr>
      </w:pPr>
      <w:r>
        <w:rPr>
          <w:b/>
          <w:bCs/>
          <w:lang w:val="bg-BG"/>
        </w:rPr>
        <w:t>2.4.</w:t>
      </w:r>
      <w:r>
        <w:rPr>
          <w:lang w:val="bg-BG"/>
        </w:rPr>
        <w:t xml:space="preserve"> „Картодържател“ – лицето, на чието име е издадена използваната платежна карта.</w:t>
      </w:r>
    </w:p>
    <w:p w14:paraId="01B8C1CC" w14:textId="77777777" w:rsidR="00814B47" w:rsidRDefault="00C9247B">
      <w:pPr>
        <w:rPr>
          <w:lang w:val="bg-BG"/>
        </w:rPr>
      </w:pPr>
      <w:r>
        <w:rPr>
          <w:b/>
          <w:bCs/>
          <w:lang w:val="bg-BG"/>
        </w:rPr>
        <w:t>2.5.</w:t>
      </w:r>
      <w:r>
        <w:rPr>
          <w:lang w:val="bg-BG"/>
        </w:rPr>
        <w:t xml:space="preserve"> „Злоумишлени действия“ са действия или бездействия, нарушаващи Интернет етиката или нанасящи вреди на лица, свързани към Интернет или асоциирани мрежи, изпращане на нежелана поща (непоискани търговски съобщения, SPAM, JUNK MAIL), препълване на каналите (FLOOD), получаване на достъп до ресурси с чужди права и пароли, използване на недостатъци в системите с цел собствена облага или добиване на информация (HACK), извършване на действия, които могат да бъдат квалифицирани като промишлен шпионаж или саботаж, повреждане или разрушаване на системи или информационни масиви (CRACK), изпращане на „троянски коне“ или предизвикване инсталация на вируси или системи за отдалечен контрол, смущаване на нормалната работа на останалите потребители на Интернет и асоциираните мрежи, извършване на каквито и да е било действия, които могат да се квалифицират като престъпление или административно нарушение по българското законодателство или по друго приложимо право.</w:t>
      </w:r>
    </w:p>
    <w:p w14:paraId="60E03965" w14:textId="77777777" w:rsidR="00814B47" w:rsidRDefault="00C9247B">
      <w:pPr>
        <w:rPr>
          <w:lang w:val="bg-BG"/>
        </w:rPr>
      </w:pPr>
      <w:r>
        <w:rPr>
          <w:b/>
          <w:bCs/>
          <w:lang w:val="bg-BG"/>
        </w:rPr>
        <w:t>2.6.</w:t>
      </w:r>
      <w:r>
        <w:rPr>
          <w:lang w:val="bg-BG"/>
        </w:rPr>
        <w:t xml:space="preserve"> „Интернет страница“ е част от уебсайт, която може да е съставна или обособена.</w:t>
      </w:r>
    </w:p>
    <w:p w14:paraId="7552ED97" w14:textId="77777777" w:rsidR="00814B47" w:rsidRDefault="00C9247B">
      <w:pPr>
        <w:rPr>
          <w:lang w:val="bg-BG"/>
        </w:rPr>
      </w:pPr>
      <w:r>
        <w:rPr>
          <w:b/>
          <w:bCs/>
          <w:lang w:val="bg-BG"/>
        </w:rPr>
        <w:t>2.7.</w:t>
      </w:r>
      <w:r>
        <w:rPr>
          <w:lang w:val="bg-BG"/>
        </w:rPr>
        <w:t xml:space="preserve"> „Информационна система/ Система“ е всяко отделно устройство или съвкупност от взаимосвързани или сходни устройства, което в изпълнение на определена програма осигурява автоматична обработка на данни или е един от елементите, които осигуряват такава обработка.</w:t>
      </w:r>
    </w:p>
    <w:p w14:paraId="5C8D814A" w14:textId="77777777" w:rsidR="00814B47" w:rsidRDefault="00C9247B">
      <w:pPr>
        <w:rPr>
          <w:lang w:val="bg-BG"/>
        </w:rPr>
      </w:pPr>
      <w:r>
        <w:rPr>
          <w:b/>
          <w:bCs/>
          <w:lang w:val="bg-BG"/>
        </w:rPr>
        <w:t>2.8.</w:t>
      </w:r>
      <w:r>
        <w:rPr>
          <w:lang w:val="bg-BG"/>
        </w:rPr>
        <w:t xml:space="preserve"> „Уебсайт“ е обособеното място в глобалната Интернет мрежа, достъпно чрез своя унифициран адрес (URL) по протокол HTTP, HTTPS или друг стандартизиран протокол и съдържащо файлове, текст, програми (софтуер), звуци, снимки, изображения, електронни препратки или други материали и ресурси.</w:t>
      </w:r>
    </w:p>
    <w:p w14:paraId="04092114" w14:textId="77777777" w:rsidR="00814B47" w:rsidRDefault="00C9247B">
      <w:pPr>
        <w:rPr>
          <w:lang w:val="bg-BG"/>
        </w:rPr>
      </w:pPr>
      <w:r>
        <w:rPr>
          <w:b/>
          <w:bCs/>
          <w:lang w:val="bg-BG"/>
        </w:rPr>
        <w:t>2.9.</w:t>
      </w:r>
      <w:r>
        <w:rPr>
          <w:lang w:val="bg-BG"/>
        </w:rPr>
        <w:t xml:space="preserve"> „Условия на събитието“ – общите условия за регистрация и участие в конкретно събитие, организирано от Сдружението (като Общите условия на 2-рата Източноевропейска регионална конференция „Construction Across Borders“), публикувани на страницата на съответното събитие на Уебсайта и приемани от Потребителя при регистрацията за събитието.</w:t>
      </w:r>
    </w:p>
    <w:p w14:paraId="771F7EC6" w14:textId="77777777" w:rsidR="00814B47" w:rsidRDefault="00C9247B">
      <w:pPr>
        <w:rPr>
          <w:lang w:val="bg-BG"/>
        </w:rPr>
      </w:pPr>
      <w:r>
        <w:rPr>
          <w:b/>
          <w:bCs/>
          <w:lang w:val="bg-BG"/>
        </w:rPr>
        <w:t>2.10.</w:t>
      </w:r>
      <w:r>
        <w:rPr>
          <w:lang w:val="bg-BG"/>
        </w:rPr>
        <w:t xml:space="preserve"> „Уведомление за поверителност“ – уведомлението за поверителност на Сдружението, публикувано на Уебсайта, което информира как Сдружението събира, използва, съхранява, предоставя и по друг начин обработва лични данни във връзка с организирането и провеждането </w:t>
      </w:r>
      <w:r>
        <w:rPr>
          <w:lang w:val="bg-BG"/>
        </w:rPr>
        <w:lastRenderedPageBreak/>
        <w:t>на обучения, семинари, уебинари, конференции, професионални събития и свързани услуги, в съответствие с Регламент (ЕС) 2016/679 („ОРЗД“), Закона за защита на личните данни и приложимото българско и европейско законодателство.</w:t>
      </w:r>
    </w:p>
    <w:p w14:paraId="4D973C4D" w14:textId="77777777" w:rsidR="00814B47" w:rsidRDefault="00C9247B">
      <w:pPr>
        <w:rPr>
          <w:b/>
          <w:bCs/>
          <w:lang w:val="bg-BG"/>
        </w:rPr>
      </w:pPr>
      <w:r>
        <w:rPr>
          <w:b/>
          <w:bCs/>
          <w:lang w:val="bg-BG"/>
        </w:rPr>
        <w:t>Раздел III. Предмет и Услуги</w:t>
      </w:r>
    </w:p>
    <w:p w14:paraId="5EA05F16" w14:textId="77777777" w:rsidR="00814B47" w:rsidRDefault="00C9247B">
      <w:pPr>
        <w:rPr>
          <w:lang w:val="bg-BG"/>
        </w:rPr>
      </w:pPr>
      <w:r>
        <w:rPr>
          <w:b/>
          <w:bCs/>
          <w:lang w:val="bg-BG"/>
        </w:rPr>
        <w:t>3.1.</w:t>
      </w:r>
      <w:r>
        <w:rPr>
          <w:lang w:val="bg-BG"/>
        </w:rPr>
        <w:t xml:space="preserve"> Чрез Уебсайта Сдружението предоставя информация за своята дейност, публикации и новини, и дава възможност на Потребителите да заплащат онлайн: (а) годишен членски внос на членовете на Сдружението; (б) такси за участие в конференции, семинари, уебинари и други събития, организирани или съорганизирани от Сдружението; (в) други услуги, изрично посочени на Уебсайта.</w:t>
      </w:r>
    </w:p>
    <w:p w14:paraId="2B6E6799" w14:textId="77777777" w:rsidR="00814B47" w:rsidRDefault="00C9247B">
      <w:pPr>
        <w:rPr>
          <w:lang w:val="bg-BG"/>
        </w:rPr>
      </w:pPr>
      <w:r>
        <w:rPr>
          <w:b/>
          <w:bCs/>
          <w:lang w:val="bg-BG"/>
        </w:rPr>
        <w:t>3.2.</w:t>
      </w:r>
      <w:r>
        <w:rPr>
          <w:lang w:val="bg-BG"/>
        </w:rPr>
        <w:t xml:space="preserve"> Членството в Сдружението се придобива по реда на Устава на Сдружението и Закона за юридическите лица с нестопанска цел – с решение на Управителния съвет по писмено заявление на кандидата. Онлайн плащане на членски внос се извършва след приемане на кандидата за член, освен ако на Уебсайта изрично е посочено друго.</w:t>
      </w:r>
    </w:p>
    <w:p w14:paraId="6055F708" w14:textId="77777777" w:rsidR="00814B47" w:rsidRDefault="00C9247B">
      <w:pPr>
        <w:rPr>
          <w:lang w:val="bg-BG"/>
        </w:rPr>
      </w:pPr>
      <w:r>
        <w:rPr>
          <w:b/>
          <w:bCs/>
          <w:lang w:val="bg-BG"/>
        </w:rPr>
        <w:t>3.3.</w:t>
      </w:r>
      <w:r>
        <w:rPr>
          <w:lang w:val="bg-BG"/>
        </w:rPr>
        <w:t xml:space="preserve"> Основните характеристики на всяко събитие (дата, място, програма, език, формат – присъствено или онлайн, какво е включено в таксата) се посочват на съответната страница на Уебсайта преди извършване на Поръчката. Участието в събитията е възможно само след предварителна регистрация и заплащането на съответната такса. Регистрацията, плащането на таксите за участие, анулирането на регистрация, замяната на участници, промените в програмата, както и отлагането и отмяната на събитие се уреждат и от Условията на съответното събитие (т. 15.3).</w:t>
      </w:r>
    </w:p>
    <w:p w14:paraId="6000DCAB" w14:textId="77777777" w:rsidR="00814B47" w:rsidRDefault="00C9247B">
      <w:pPr>
        <w:rPr>
          <w:lang w:val="bg-BG"/>
        </w:rPr>
      </w:pPr>
      <w:r>
        <w:rPr>
          <w:b/>
          <w:bCs/>
          <w:lang w:val="bg-BG"/>
        </w:rPr>
        <w:t>3.4.</w:t>
      </w:r>
      <w:r>
        <w:rPr>
          <w:lang w:val="bg-BG"/>
        </w:rPr>
        <w:t xml:space="preserve"> Предоставянето на Услугите не обхваща осигуряване на компютърно и друго клиентско оборудване (крайни устройства за достъп до Интернет) и свързаност за пренос на информационни пакети между Потребителя и Интернет страницата, необходими за осъществяване на достъп до Уебсайта. Сдружението не носи отговорност, ако Потребителят не може да осъществи достъп, поради проблеми извън контрола на Сдружението (хардуерен, софтуерен проблем, проблем с Интернет свързаност и др.).</w:t>
      </w:r>
    </w:p>
    <w:p w14:paraId="44C77321" w14:textId="135BCAAF" w:rsidR="00814B47" w:rsidRDefault="00C9247B">
      <w:pPr>
        <w:rPr>
          <w:lang w:val="bg-BG"/>
        </w:rPr>
      </w:pPr>
      <w:r>
        <w:rPr>
          <w:b/>
          <w:bCs/>
          <w:lang w:val="bg-BG"/>
        </w:rPr>
        <w:t>3.5.</w:t>
      </w:r>
      <w:r>
        <w:rPr>
          <w:lang w:val="bg-BG"/>
        </w:rPr>
        <w:t xml:space="preserve"> Предоставяните от Сдружението Услуги са разнообразни и постоянно допълвани и модифицирани с оглед тяхното подобряване и разширяване и броят, цените, характеристиките на съответните събития и предоставяните Услуги и условията на продажба, съответно на предоставяне (безплатно без регистрация, безплатно срещу регистрация или срещу регистрация и заплащане), могат да бъдат променяни по всяко време от Сдружението, без това да засяга вече заплатени Поръчки (т. 4.2).</w:t>
      </w:r>
    </w:p>
    <w:p w14:paraId="276A06BF" w14:textId="77777777" w:rsidR="00814B47" w:rsidRDefault="00C9247B">
      <w:pPr>
        <w:rPr>
          <w:b/>
          <w:bCs/>
          <w:lang w:val="bg-BG"/>
        </w:rPr>
      </w:pPr>
      <w:r>
        <w:rPr>
          <w:b/>
          <w:bCs/>
          <w:lang w:val="bg-BG"/>
        </w:rPr>
        <w:t>Раздел IIIa. Приемане на Общите условия</w:t>
      </w:r>
    </w:p>
    <w:p w14:paraId="0034B977" w14:textId="77777777" w:rsidR="00814B47" w:rsidRDefault="00C9247B">
      <w:pPr>
        <w:rPr>
          <w:lang w:val="bg-BG"/>
        </w:rPr>
      </w:pPr>
      <w:r>
        <w:rPr>
          <w:b/>
          <w:bCs/>
          <w:lang w:val="bg-BG"/>
        </w:rPr>
        <w:t>3а.1.</w:t>
      </w:r>
      <w:r>
        <w:rPr>
          <w:lang w:val="bg-BG"/>
        </w:rPr>
        <w:t xml:space="preserve"> С всяко използване на информационните услуги и ресурси в Уебсайта, включително с отварянето на Интернет страница от Уебсайта, както и чрез натискане на електронна препратка (линк) от която и да е Интернет страница в Уебсайта, се счита, че Потребителят е запознат с настоящите Общи условия, съгласен е с тях и се задължава да ги спазва. Ако не е съгласен с което и да било от изискванията, предвидени в тези Общи условия, същият следва да не използва която и да е от Услугите и да напусне незабавно Уебсайта.</w:t>
      </w:r>
    </w:p>
    <w:p w14:paraId="486B78A2" w14:textId="77777777" w:rsidR="00814B47" w:rsidRDefault="00C9247B">
      <w:pPr>
        <w:rPr>
          <w:lang w:val="bg-BG"/>
        </w:rPr>
      </w:pPr>
      <w:r>
        <w:rPr>
          <w:b/>
          <w:bCs/>
          <w:lang w:val="bg-BG"/>
        </w:rPr>
        <w:t>3а.2.</w:t>
      </w:r>
      <w:r>
        <w:rPr>
          <w:lang w:val="bg-BG"/>
        </w:rPr>
        <w:t xml:space="preserve"> Когато Потребителят извършва Поръчка чрез Уебсайта, преди нейното потвърждаване той отбелязва следните задължителни полета: (а) когато Поръчката се отнася до събитие – полето „Потвърждавам, че съм прочел/а и приемам Условията на съответното събитие“; (б) полето „Запознат/а съм и приемам Общите условия за ползване на уебсайта bscl.bg и за онлайн плащания с банкови карти“; и (в) полето „Прочетох и разбрах Уведомлението за поверителност и </w:t>
      </w:r>
      <w:r>
        <w:rPr>
          <w:lang w:val="bg-BG"/>
        </w:rPr>
        <w:lastRenderedPageBreak/>
        <w:t>съм запознат/а с обработването на личните ми данни за целите на регистрацията и организацията на конференцията“, и натиска бутона „Поръчка със задължение за плащане“ или друг равностоен бутон (т. 5.1, т. (5)). По свой избор Потребителят може да отбележи и следните незадължителни полета: (г) съгласие снимки и видеозаписи от събитието, на които може да се появи, да бъдат използвани за информационната, образователната и промоционалната дейност на Сдружението, включително на неговия уебсайт, в публикации и в социалните мрежи; и (д) съгласие името, организацията и държавата му да бъдат включени в списъка на участниците, който се разпраща на присъстващите. С отбелязването на полетата по букви (а)–(в) Потребителят извършва изрично електронно изявление по смисъла на Закона за електронния документ и електронните удостоверителни услуги (ЗЕДЕУУ), с което декларира, че е запознат с посочените документи, приема Общите условия и Условията на събитието и се задължава да ги спазва. Отбелязването на полето по буква (в) удостоверява единствено, че на Потребителя е предоставена информацията относно обработването на личните му данни, и не представлява съгласие за обработване на лични данни. Със записването му на съответен носител върху сървъра, използван от Сдружението, чрез общоприет стандарт за преобразуване по технически начин, правещ възможно неговото възпроизвеждане, електронното изявление придобива качеството на електронен документ по смисъла на ЗЕДЕУУ.</w:t>
      </w:r>
    </w:p>
    <w:p w14:paraId="7ACB5BE6" w14:textId="77777777" w:rsidR="00814B47" w:rsidRDefault="00C9247B">
      <w:pPr>
        <w:rPr>
          <w:lang w:val="bg-BG"/>
        </w:rPr>
      </w:pPr>
      <w:r>
        <w:rPr>
          <w:b/>
          <w:bCs/>
          <w:lang w:val="bg-BG"/>
        </w:rPr>
        <w:t>3а.3.</w:t>
      </w:r>
      <w:r>
        <w:t xml:space="preserve"> </w:t>
      </w:r>
      <w:proofErr w:type="spellStart"/>
      <w:r>
        <w:t>Съгласията</w:t>
      </w:r>
      <w:proofErr w:type="spellEnd"/>
      <w:r>
        <w:t xml:space="preserve"> по т. 3а.2, </w:t>
      </w:r>
      <w:proofErr w:type="spellStart"/>
      <w:r>
        <w:t>букви</w:t>
      </w:r>
      <w:proofErr w:type="spellEnd"/>
      <w:r>
        <w:t xml:space="preserve"> (г) и (д), </w:t>
      </w:r>
      <w:proofErr w:type="spellStart"/>
      <w:r>
        <w:t>както</w:t>
      </w:r>
      <w:proofErr w:type="spellEnd"/>
      <w:r>
        <w:t xml:space="preserve"> и </w:t>
      </w:r>
      <w:proofErr w:type="spellStart"/>
      <w:r>
        <w:t>всяко</w:t>
      </w:r>
      <w:proofErr w:type="spellEnd"/>
      <w:r>
        <w:t xml:space="preserve"> </w:t>
      </w:r>
      <w:proofErr w:type="spellStart"/>
      <w:r>
        <w:t>друго</w:t>
      </w:r>
      <w:proofErr w:type="spellEnd"/>
      <w:r>
        <w:t xml:space="preserve"> </w:t>
      </w:r>
      <w:proofErr w:type="spellStart"/>
      <w:r>
        <w:t>съгласие</w:t>
      </w:r>
      <w:proofErr w:type="spellEnd"/>
      <w:r>
        <w:t xml:space="preserve">, </w:t>
      </w:r>
      <w:proofErr w:type="spellStart"/>
      <w:r>
        <w:t>което</w:t>
      </w:r>
      <w:proofErr w:type="spellEnd"/>
      <w:r>
        <w:t xml:space="preserve"> </w:t>
      </w:r>
      <w:proofErr w:type="spellStart"/>
      <w:r>
        <w:t>Потребителят</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даде</w:t>
      </w:r>
      <w:proofErr w:type="spellEnd"/>
      <w:r>
        <w:t xml:space="preserve"> </w:t>
      </w:r>
      <w:proofErr w:type="spellStart"/>
      <w:r>
        <w:t>по</w:t>
      </w:r>
      <w:proofErr w:type="spellEnd"/>
      <w:r>
        <w:t xml:space="preserve"> </w:t>
      </w:r>
      <w:proofErr w:type="spellStart"/>
      <w:r>
        <w:t>свой</w:t>
      </w:r>
      <w:proofErr w:type="spellEnd"/>
      <w:r>
        <w:t xml:space="preserve"> </w:t>
      </w:r>
      <w:proofErr w:type="spellStart"/>
      <w:r>
        <w:t>избор</w:t>
      </w:r>
      <w:proofErr w:type="spellEnd"/>
      <w:r>
        <w:t xml:space="preserve"> (</w:t>
      </w:r>
      <w:proofErr w:type="spellStart"/>
      <w:r>
        <w:t>напр</w:t>
      </w:r>
      <w:proofErr w:type="spellEnd"/>
      <w:r>
        <w:t xml:space="preserve">. </w:t>
      </w:r>
      <w:proofErr w:type="spellStart"/>
      <w:r>
        <w:t>за</w:t>
      </w:r>
      <w:proofErr w:type="spellEnd"/>
      <w:r>
        <w:t xml:space="preserve"> </w:t>
      </w:r>
      <w:proofErr w:type="spellStart"/>
      <w:r>
        <w:t>получаване</w:t>
      </w:r>
      <w:proofErr w:type="spellEnd"/>
      <w:r>
        <w:t xml:space="preserve"> </w:t>
      </w:r>
      <w:proofErr w:type="spellStart"/>
      <w:r>
        <w:t>на</w:t>
      </w:r>
      <w:proofErr w:type="spellEnd"/>
      <w:r>
        <w:t xml:space="preserve"> </w:t>
      </w:r>
      <w:proofErr w:type="spellStart"/>
      <w:r>
        <w:t>търговски</w:t>
      </w:r>
      <w:proofErr w:type="spellEnd"/>
      <w:r>
        <w:t xml:space="preserve"> </w:t>
      </w:r>
      <w:proofErr w:type="spellStart"/>
      <w:r>
        <w:t>съобщения</w:t>
      </w:r>
      <w:proofErr w:type="spellEnd"/>
      <w:r>
        <w:t xml:space="preserve">), </w:t>
      </w:r>
      <w:proofErr w:type="spellStart"/>
      <w:r>
        <w:t>се</w:t>
      </w:r>
      <w:proofErr w:type="spellEnd"/>
      <w:r>
        <w:t xml:space="preserve"> </w:t>
      </w:r>
      <w:proofErr w:type="spellStart"/>
      <w:r>
        <w:t>изразяват</w:t>
      </w:r>
      <w:proofErr w:type="spellEnd"/>
      <w:r>
        <w:t xml:space="preserve"> </w:t>
      </w:r>
      <w:proofErr w:type="spellStart"/>
      <w:r>
        <w:t>чрез</w:t>
      </w:r>
      <w:proofErr w:type="spellEnd"/>
      <w:r>
        <w:t xml:space="preserve"> </w:t>
      </w:r>
      <w:proofErr w:type="spellStart"/>
      <w:r>
        <w:t>отделни</w:t>
      </w:r>
      <w:proofErr w:type="spellEnd"/>
      <w:r>
        <w:t xml:space="preserve">, </w:t>
      </w:r>
      <w:proofErr w:type="spellStart"/>
      <w:r>
        <w:t>предварително</w:t>
      </w:r>
      <w:proofErr w:type="spellEnd"/>
      <w:r>
        <w:t xml:space="preserve"> </w:t>
      </w:r>
      <w:proofErr w:type="spellStart"/>
      <w:r>
        <w:t>неотбелязани</w:t>
      </w:r>
      <w:proofErr w:type="spellEnd"/>
      <w:r>
        <w:t xml:space="preserve"> </w:t>
      </w:r>
      <w:proofErr w:type="spellStart"/>
      <w:r>
        <w:t>полета</w:t>
      </w:r>
      <w:proofErr w:type="spellEnd"/>
      <w:r>
        <w:t xml:space="preserve">, </w:t>
      </w:r>
      <w:proofErr w:type="spellStart"/>
      <w:r>
        <w:t>не</w:t>
      </w:r>
      <w:proofErr w:type="spellEnd"/>
      <w:r>
        <w:t xml:space="preserve"> </w:t>
      </w:r>
      <w:proofErr w:type="spellStart"/>
      <w:r>
        <w:t>са</w:t>
      </w:r>
      <w:proofErr w:type="spellEnd"/>
      <w:r>
        <w:t xml:space="preserve"> </w:t>
      </w:r>
      <w:proofErr w:type="spellStart"/>
      <w:r>
        <w:t>условие</w:t>
      </w:r>
      <w:proofErr w:type="spellEnd"/>
      <w:r>
        <w:t xml:space="preserve"> </w:t>
      </w:r>
      <w:proofErr w:type="spellStart"/>
      <w:r>
        <w:t>за</w:t>
      </w:r>
      <w:proofErr w:type="spellEnd"/>
      <w:r>
        <w:t xml:space="preserve"> </w:t>
      </w:r>
      <w:proofErr w:type="spellStart"/>
      <w:r>
        <w:t>извършване</w:t>
      </w:r>
      <w:proofErr w:type="spellEnd"/>
      <w:r>
        <w:t xml:space="preserve"> </w:t>
      </w:r>
      <w:proofErr w:type="spellStart"/>
      <w:r>
        <w:t>на</w:t>
      </w:r>
      <w:proofErr w:type="spellEnd"/>
      <w:r>
        <w:t xml:space="preserve"> </w:t>
      </w:r>
      <w:proofErr w:type="spellStart"/>
      <w:r>
        <w:t>Поръчката</w:t>
      </w:r>
      <w:proofErr w:type="spellEnd"/>
      <w:r>
        <w:t xml:space="preserve"> </w:t>
      </w:r>
      <w:proofErr w:type="spellStart"/>
      <w:r>
        <w:t>или</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събитието</w:t>
      </w:r>
      <w:proofErr w:type="spellEnd"/>
      <w:r>
        <w:t xml:space="preserve"> и </w:t>
      </w:r>
      <w:proofErr w:type="spellStart"/>
      <w:r>
        <w:t>могат</w:t>
      </w:r>
      <w:proofErr w:type="spellEnd"/>
      <w:r>
        <w:t xml:space="preserve"> </w:t>
      </w:r>
      <w:proofErr w:type="spellStart"/>
      <w:r>
        <w:t>да</w:t>
      </w:r>
      <w:proofErr w:type="spellEnd"/>
      <w:r>
        <w:t xml:space="preserve"> </w:t>
      </w:r>
      <w:proofErr w:type="spellStart"/>
      <w:r>
        <w:t>бъдат</w:t>
      </w:r>
      <w:proofErr w:type="spellEnd"/>
      <w:r>
        <w:t xml:space="preserve"> </w:t>
      </w:r>
      <w:proofErr w:type="spellStart"/>
      <w:r>
        <w:t>оттеглени</w:t>
      </w:r>
      <w:proofErr w:type="spellEnd"/>
      <w:r>
        <w:t xml:space="preserve"> </w:t>
      </w:r>
      <w:proofErr w:type="spellStart"/>
      <w:r>
        <w:t>по</w:t>
      </w:r>
      <w:proofErr w:type="spellEnd"/>
      <w:r>
        <w:t xml:space="preserve"> </w:t>
      </w:r>
      <w:proofErr w:type="spellStart"/>
      <w:r>
        <w:t>всяко</w:t>
      </w:r>
      <w:proofErr w:type="spellEnd"/>
      <w:r>
        <w:t xml:space="preserve"> </w:t>
      </w:r>
      <w:proofErr w:type="spellStart"/>
      <w:r>
        <w:t>време</w:t>
      </w:r>
      <w:proofErr w:type="spellEnd"/>
      <w:r>
        <w:t xml:space="preserve"> с </w:t>
      </w:r>
      <w:proofErr w:type="spellStart"/>
      <w:r>
        <w:t>имейл</w:t>
      </w:r>
      <w:proofErr w:type="spellEnd"/>
      <w:r>
        <w:t xml:space="preserve"> </w:t>
      </w:r>
      <w:proofErr w:type="spellStart"/>
      <w:r>
        <w:t>до</w:t>
      </w:r>
      <w:proofErr w:type="spellEnd"/>
      <w:r>
        <w:t xml:space="preserve"> info@bscl.bg. </w:t>
      </w:r>
      <w:proofErr w:type="spellStart"/>
      <w:r>
        <w:t>Оттеглянето</w:t>
      </w:r>
      <w:proofErr w:type="spellEnd"/>
      <w:r>
        <w:t xml:space="preserve"> </w:t>
      </w:r>
      <w:proofErr w:type="spellStart"/>
      <w:r>
        <w:t>има</w:t>
      </w:r>
      <w:proofErr w:type="spellEnd"/>
      <w:r>
        <w:t xml:space="preserve"> </w:t>
      </w:r>
      <w:proofErr w:type="spellStart"/>
      <w:r>
        <w:t>действие</w:t>
      </w:r>
      <w:proofErr w:type="spellEnd"/>
      <w:r>
        <w:t xml:space="preserve"> </w:t>
      </w:r>
      <w:proofErr w:type="spellStart"/>
      <w:r>
        <w:t>занапред</w:t>
      </w:r>
      <w:proofErr w:type="spellEnd"/>
      <w:r>
        <w:t xml:space="preserve"> и </w:t>
      </w:r>
      <w:proofErr w:type="spellStart"/>
      <w:r>
        <w:t>не</w:t>
      </w:r>
      <w:proofErr w:type="spellEnd"/>
      <w:r>
        <w:t xml:space="preserve"> </w:t>
      </w:r>
      <w:proofErr w:type="spellStart"/>
      <w:r>
        <w:t>засяга</w:t>
      </w:r>
      <w:proofErr w:type="spellEnd"/>
      <w:r>
        <w:t xml:space="preserve"> </w:t>
      </w:r>
      <w:proofErr w:type="spellStart"/>
      <w:r>
        <w:t>законосъобразността</w:t>
      </w:r>
      <w:proofErr w:type="spellEnd"/>
      <w:r>
        <w:t xml:space="preserve"> </w:t>
      </w:r>
      <w:proofErr w:type="spellStart"/>
      <w:r>
        <w:t>на</w:t>
      </w:r>
      <w:proofErr w:type="spellEnd"/>
      <w:r>
        <w:t xml:space="preserve"> </w:t>
      </w:r>
      <w:proofErr w:type="spellStart"/>
      <w:r>
        <w:t>използването</w:t>
      </w:r>
      <w:proofErr w:type="spellEnd"/>
      <w:r>
        <w:t xml:space="preserve"> </w:t>
      </w:r>
      <w:proofErr w:type="spellStart"/>
      <w:r>
        <w:t>преди</w:t>
      </w:r>
      <w:proofErr w:type="spellEnd"/>
      <w:r>
        <w:t xml:space="preserve"> </w:t>
      </w:r>
      <w:proofErr w:type="spellStart"/>
      <w:r>
        <w:t>него</w:t>
      </w:r>
      <w:proofErr w:type="spellEnd"/>
      <w:r>
        <w:t xml:space="preserve">. </w:t>
      </w:r>
      <w:proofErr w:type="spellStart"/>
      <w:r>
        <w:t>Съгласията</w:t>
      </w:r>
      <w:proofErr w:type="spellEnd"/>
      <w:r>
        <w:t xml:space="preserve"> </w:t>
      </w:r>
      <w:proofErr w:type="spellStart"/>
      <w:r>
        <w:t>по</w:t>
      </w:r>
      <w:proofErr w:type="spellEnd"/>
      <w:r>
        <w:t xml:space="preserve"> т. 3а.2, </w:t>
      </w:r>
      <w:proofErr w:type="spellStart"/>
      <w:r>
        <w:t>букви</w:t>
      </w:r>
      <w:proofErr w:type="spellEnd"/>
      <w:r>
        <w:t xml:space="preserve"> (г) и (д) </w:t>
      </w:r>
      <w:proofErr w:type="spellStart"/>
      <w:r>
        <w:t>се</w:t>
      </w:r>
      <w:proofErr w:type="spellEnd"/>
      <w:r>
        <w:t xml:space="preserve"> </w:t>
      </w:r>
      <w:proofErr w:type="spellStart"/>
      <w:r>
        <w:t>уреждат</w:t>
      </w:r>
      <w:proofErr w:type="spellEnd"/>
      <w:r>
        <w:t xml:space="preserve"> и </w:t>
      </w:r>
      <w:proofErr w:type="spellStart"/>
      <w:r>
        <w:t>от</w:t>
      </w:r>
      <w:proofErr w:type="spellEnd"/>
      <w:r>
        <w:t xml:space="preserve"> </w:t>
      </w:r>
      <w:proofErr w:type="spellStart"/>
      <w:r>
        <w:t>Условията</w:t>
      </w:r>
      <w:proofErr w:type="spellEnd"/>
      <w:r>
        <w:t xml:space="preserve"> </w:t>
      </w:r>
      <w:proofErr w:type="spellStart"/>
      <w:r>
        <w:t>на</w:t>
      </w:r>
      <w:proofErr w:type="spellEnd"/>
      <w:r>
        <w:t xml:space="preserve"> </w:t>
      </w:r>
      <w:proofErr w:type="spellStart"/>
      <w:r>
        <w:t>съответното</w:t>
      </w:r>
      <w:proofErr w:type="spellEnd"/>
      <w:r>
        <w:t xml:space="preserve"> </w:t>
      </w:r>
      <w:proofErr w:type="spellStart"/>
      <w:r>
        <w:t>събитие</w:t>
      </w:r>
      <w:proofErr w:type="spellEnd"/>
      <w:r>
        <w:t xml:space="preserve"> (</w:t>
      </w:r>
      <w:proofErr w:type="spellStart"/>
      <w:r>
        <w:t>за</w:t>
      </w:r>
      <w:proofErr w:type="spellEnd"/>
      <w:r>
        <w:t xml:space="preserve"> </w:t>
      </w:r>
      <w:proofErr w:type="spellStart"/>
      <w:r>
        <w:t>конференцията</w:t>
      </w:r>
      <w:proofErr w:type="spellEnd"/>
      <w:r>
        <w:t xml:space="preserve"> – т. 10.3 и т. 10.4).</w:t>
      </w:r>
    </w:p>
    <w:p w14:paraId="358E5F79" w14:textId="77777777" w:rsidR="00814B47" w:rsidRDefault="00C9247B">
      <w:pPr>
        <w:rPr>
          <w:lang w:val="bg-BG"/>
        </w:rPr>
      </w:pPr>
      <w:r>
        <w:rPr>
          <w:b/>
          <w:bCs/>
          <w:lang w:val="bg-BG"/>
        </w:rPr>
        <w:t>3а.4.</w:t>
      </w:r>
      <w:r>
        <w:rPr>
          <w:lang w:val="bg-BG"/>
        </w:rPr>
        <w:t xml:space="preserve"> С приемане на Общите условия Потребителят се съгласява комуникацията с него във връзка с Поръчката и предоставяните Услуги да бъде осъществявана по електронен път, включително и чрез електронна поща, както и да бъде адресат на електронни изявления от Сдружението, включително такива, които са автоматично генерирани и/или изпращани чрез Уебсайта по електронна поща, кратки текстови съобщения (SMS) или по друг начин. Търговски съобщения се изпращат само при условията на т. 11.1, буква (в) и Уведомлението за поверителност.</w:t>
      </w:r>
    </w:p>
    <w:p w14:paraId="24747A8C" w14:textId="77777777" w:rsidR="00814B47" w:rsidRDefault="00C9247B">
      <w:pPr>
        <w:rPr>
          <w:lang w:val="bg-BG"/>
        </w:rPr>
      </w:pPr>
      <w:r>
        <w:rPr>
          <w:b/>
          <w:bCs/>
          <w:lang w:val="bg-BG"/>
        </w:rPr>
        <w:t>3а.5.</w:t>
      </w:r>
      <w:r>
        <w:rPr>
          <w:lang w:val="bg-BG"/>
        </w:rPr>
        <w:t xml:space="preserve"> Сдружението може да съхранява в лог-файлове на своя сървър IP адреса на Потребителя, както и всяка друга информация, необходима за идентифициране на Потребителя и възпроизвеждане на електронното му изявление за приемане на Общите условия и Условията на събитието, както и за извършването на други електронни изявления, в случай на възникване на правен спор. Тези данни се обработват в съответствие с Уведомлението за поверителност.</w:t>
      </w:r>
    </w:p>
    <w:p w14:paraId="60EBCADB" w14:textId="77777777" w:rsidR="00814B47" w:rsidRDefault="00C9247B">
      <w:pPr>
        <w:rPr>
          <w:lang w:val="bg-BG"/>
        </w:rPr>
      </w:pPr>
      <w:r>
        <w:rPr>
          <w:b/>
          <w:bCs/>
          <w:lang w:val="bg-BG"/>
        </w:rPr>
        <w:t>3а.6.</w:t>
      </w:r>
      <w:r>
        <w:rPr>
          <w:lang w:val="bg-BG"/>
        </w:rPr>
        <w:t xml:space="preserve"> За да извърши валидна Поръчка, Потребителят следва да попълни съответната електронна форма, достъпна в реално време (online) на Уебсайта, и да приеме Общите условия по начина, описан в т. 3а.2.</w:t>
      </w:r>
    </w:p>
    <w:p w14:paraId="5736E931" w14:textId="77777777" w:rsidR="00814B47" w:rsidRDefault="00C9247B">
      <w:pPr>
        <w:rPr>
          <w:lang w:val="bg-BG"/>
        </w:rPr>
      </w:pPr>
      <w:r>
        <w:rPr>
          <w:b/>
          <w:bCs/>
          <w:lang w:val="bg-BG"/>
        </w:rPr>
        <w:t>3а.7.</w:t>
      </w:r>
      <w:r>
        <w:rPr>
          <w:lang w:val="bg-BG"/>
        </w:rPr>
        <w:t xml:space="preserve"> Потребителят следва да попълни всички полета, обозначени като задължителни в съответната електронна форма за заявяване на Услуги. При попълване на електронната форма Потребителят е длъжен да предостави пълни и верни идентификационни данни за себе си, както и всяка друга информация, обозначена като задължителна за предоставяне във формата. В случай на непредоставяне на изискваните и означени като задължителни в съответната електронна форма данни или на предоставяне на неверни данни, Сдружението има право да откаже да обработи и/или изпълни подадената от Потребителя Поръчка, да откаже регистрацията на съответния Потребител за събитие или да прекрати или спре незабавно и без </w:t>
      </w:r>
      <w:r>
        <w:rPr>
          <w:lang w:val="bg-BG"/>
        </w:rPr>
        <w:lastRenderedPageBreak/>
        <w:t>предизвестие предоставянето на Услугите, като в тези случаи всяка платена сума за непредоставената Услуга се възстановява по реда на т. 6.7.</w:t>
      </w:r>
    </w:p>
    <w:p w14:paraId="620460C1" w14:textId="77777777" w:rsidR="00814B47" w:rsidRDefault="00C9247B">
      <w:pPr>
        <w:rPr>
          <w:b/>
          <w:bCs/>
          <w:lang w:val="bg-BG"/>
        </w:rPr>
      </w:pPr>
      <w:r>
        <w:rPr>
          <w:b/>
          <w:bCs/>
          <w:lang w:val="bg-BG"/>
        </w:rPr>
        <w:t>Раздел IV. Цени</w:t>
      </w:r>
    </w:p>
    <w:p w14:paraId="469B057C" w14:textId="617B214A" w:rsidR="00814B47" w:rsidRDefault="00C9247B">
      <w:pPr>
        <w:rPr>
          <w:lang w:val="bg-BG"/>
        </w:rPr>
      </w:pPr>
      <w:r>
        <w:rPr>
          <w:b/>
          <w:bCs/>
          <w:lang w:val="bg-BG"/>
        </w:rPr>
        <w:t>4.1.</w:t>
      </w:r>
      <w:r>
        <w:rPr>
          <w:lang w:val="bg-BG"/>
        </w:rPr>
        <w:t xml:space="preserve"> Цените на Услугите се посочват на Уебсайта в евро (EUR), са крайни и включват ДДС, когато такъв се дължи. Таксите за участие в събития, включително ранните такси и намалените такси за членове, и условията за тяхното прилагане се определят в Условията на съответното събитие. Към датата на тези Общи условия размерът на членския внос е определен с решение на Общото събрание на Сдружението и е публикуван в раздел „Членство“ на Уебсайта.</w:t>
      </w:r>
    </w:p>
    <w:p w14:paraId="72ACB06F" w14:textId="77777777" w:rsidR="00814B47" w:rsidRDefault="00C9247B">
      <w:pPr>
        <w:rPr>
          <w:lang w:val="bg-BG"/>
        </w:rPr>
      </w:pPr>
      <w:r>
        <w:rPr>
          <w:b/>
          <w:bCs/>
          <w:lang w:val="bg-BG"/>
        </w:rPr>
        <w:t>4.2.</w:t>
      </w:r>
      <w:r>
        <w:rPr>
          <w:lang w:val="bg-BG"/>
        </w:rPr>
        <w:t xml:space="preserve"> Сдружението си запазва правото да променя цените. Промяната не засяга Поръчки, за които е извършено плащане преди промяната.</w:t>
      </w:r>
    </w:p>
    <w:p w14:paraId="260862A4" w14:textId="77777777" w:rsidR="00814B47" w:rsidRDefault="00C9247B">
      <w:pPr>
        <w:rPr>
          <w:lang w:val="bg-BG"/>
        </w:rPr>
      </w:pPr>
      <w:r>
        <w:rPr>
          <w:b/>
          <w:bCs/>
          <w:lang w:val="bg-BG"/>
        </w:rPr>
        <w:t>4.3.</w:t>
      </w:r>
      <w:r>
        <w:rPr>
          <w:lang w:val="bg-BG"/>
        </w:rPr>
        <w:t xml:space="preserve"> Сдружението не начислява допълнителни такси за плащане с банкова карта. Евентуални такси, начислявани на Картодържателя от банката издател на картата съгласно договора между тях (напр. за превалутиране), са за сметка на Картодържателя. При плащане с банков превод таксите на банката на наредителя и на банките-кореспонденти са за сметка на Потребителя, като Потребителят следва да преведе пълния размер на дължимата сума.</w:t>
      </w:r>
    </w:p>
    <w:p w14:paraId="60224C5E" w14:textId="77777777" w:rsidR="00814B47" w:rsidRDefault="00C9247B">
      <w:pPr>
        <w:rPr>
          <w:b/>
          <w:bCs/>
          <w:lang w:val="bg-BG"/>
        </w:rPr>
      </w:pPr>
      <w:r>
        <w:rPr>
          <w:b/>
          <w:bCs/>
          <w:lang w:val="bg-BG"/>
        </w:rPr>
        <w:t>Раздел V. Сключване на договор чрез Уебсайта</w:t>
      </w:r>
    </w:p>
    <w:p w14:paraId="4F5BADFC" w14:textId="77777777" w:rsidR="00814B47" w:rsidRDefault="00C9247B">
      <w:pPr>
        <w:rPr>
          <w:lang w:val="bg-BG"/>
        </w:rPr>
      </w:pPr>
      <w:r>
        <w:rPr>
          <w:b/>
          <w:bCs/>
          <w:lang w:val="bg-BG"/>
        </w:rPr>
        <w:t>5.1.</w:t>
      </w:r>
      <w:r>
        <w:rPr>
          <w:lang w:val="bg-BG"/>
        </w:rPr>
        <w:t xml:space="preserve"> Договорът се сключва на български или английски език, като Потребителят: (1) избира Услугата; (2) попълва необходимите данни (име, организация, електронна поща, телефон, данни за фактура при нужда); (3) запознава се с обобщение на Поръчката и с възможност да коригира въведените данни; (4) отбелязва полетата по т. 3а.2, с което приема настоящите Общи условия и Условията на събитието (когато е приложимо) и потвърждава, че е запознат с Уведомлението за поверителност; (5) натиска бутона „Поръчка със задължение за плащане“ или друг равностоен бутон; (6) извършва плащането – с банкова карта при подаване на Поръчката или с банков превод в срока, предвиден в Условията на съответното събитие.</w:t>
      </w:r>
    </w:p>
    <w:p w14:paraId="1BF91E9B" w14:textId="77777777" w:rsidR="00814B47" w:rsidRDefault="00C9247B">
      <w:pPr>
        <w:rPr>
          <w:lang w:val="bg-BG"/>
        </w:rPr>
      </w:pPr>
      <w:r>
        <w:rPr>
          <w:b/>
          <w:bCs/>
          <w:lang w:val="bg-BG"/>
        </w:rPr>
        <w:t>5.2.</w:t>
      </w:r>
      <w:r>
        <w:rPr>
          <w:lang w:val="bg-BG"/>
        </w:rPr>
        <w:t xml:space="preserve"> Сдружението потвърждава получаването на Поръчката по електронна поща без неоправдано забавяне. Договорът се счита за сключен, когато Сдружението получи пълния размер на дължимата сума съгласно т. 6.4. Сдружението изпраща на Потребителя потвърждение за сключения договор и за плащането на посочената от него електронна поща, като към него прилага настоящите Общи условия и приложимите Условия на събитието или ги предоставя по друг начин на траен носител. Сдружението съхранява данните за сключения договор и при поискване ги предоставя на Потребителя. Документ за плащането (фактура или друг счетоводен документ) се издава съгласно приложимото законодателство и Условията на съответното събитие.</w:t>
      </w:r>
    </w:p>
    <w:p w14:paraId="570988A5" w14:textId="77777777" w:rsidR="00814B47" w:rsidRDefault="00C9247B">
      <w:pPr>
        <w:rPr>
          <w:b/>
          <w:bCs/>
          <w:lang w:val="bg-BG"/>
        </w:rPr>
      </w:pPr>
      <w:r>
        <w:rPr>
          <w:b/>
          <w:bCs/>
          <w:lang w:val="bg-BG"/>
        </w:rPr>
        <w:t>Раздел VI. Начини на плащане и плащане с банкови карти</w:t>
      </w:r>
    </w:p>
    <w:p w14:paraId="38584DA0" w14:textId="77777777" w:rsidR="00814B47" w:rsidRDefault="00C9247B">
      <w:pPr>
        <w:rPr>
          <w:lang w:val="bg-BG"/>
        </w:rPr>
      </w:pPr>
      <w:r>
        <w:rPr>
          <w:b/>
          <w:bCs/>
          <w:lang w:val="bg-BG"/>
        </w:rPr>
        <w:t>6.1.</w:t>
      </w:r>
      <w:r>
        <w:rPr>
          <w:lang w:val="bg-BG"/>
        </w:rPr>
        <w:t xml:space="preserve"> Плащането на Услугите може да се извърши: (а) с дебитна, кредитна или предплатена карта с марка Visa, V PAY, Visa Electron, Mastercard, Maestro или Diners Club International чрез виртуален ПОС терминал на Доставчика на платежни услуги; (б) с банков превод по сметката на Сдружението, посочена на Уебсайта и в Условията на съответното събитие.</w:t>
      </w:r>
    </w:p>
    <w:p w14:paraId="3406C45B" w14:textId="77777777" w:rsidR="00814B47" w:rsidRDefault="00C9247B">
      <w:pPr>
        <w:rPr>
          <w:lang w:val="bg-BG"/>
        </w:rPr>
      </w:pPr>
      <w:r>
        <w:rPr>
          <w:b/>
          <w:bCs/>
          <w:lang w:val="bg-BG"/>
        </w:rPr>
        <w:t>6.2.</w:t>
      </w:r>
      <w:r>
        <w:rPr>
          <w:lang w:val="bg-BG"/>
        </w:rPr>
        <w:t xml:space="preserve"> При избор на плащане с карта Потребителят се пренасочва към защитена платежна страница на Доставчика на платежни услуги, където въвежда данните на картата си. Плащанията се обработват в реално време, в евро.</w:t>
      </w:r>
    </w:p>
    <w:p w14:paraId="292FCB25" w14:textId="77777777" w:rsidR="00814B47" w:rsidRDefault="00C9247B">
      <w:pPr>
        <w:rPr>
          <w:lang w:val="bg-BG"/>
        </w:rPr>
      </w:pPr>
      <w:r>
        <w:rPr>
          <w:b/>
          <w:bCs/>
          <w:lang w:val="bg-BG"/>
        </w:rPr>
        <w:lastRenderedPageBreak/>
        <w:t>6.3.</w:t>
      </w:r>
      <w:r>
        <w:rPr>
          <w:lang w:val="bg-BG"/>
        </w:rPr>
        <w:t xml:space="preserve"> Сигурност на плащанията: Сдружението не получава, не обработва и не съхранява данни за банковите карти на Потребителите (номер, срок на валидност, CVV/CVC код). Тези данни се въвеждат единствено в средата на Доставчика на платежни услуги, която отговаря на стандарта за сигурност PCI DSS. Връзката е криптирана чрез протокол TLS. Плащанията се извършват със задълбочено установяване на идентичността на клиента съгласно Закона за платежните услуги и платежните системи (ЗПУПС) – чрез протокола 3-D Secure (Visa Secure, Mastercard Identity Check и съответните технологии на останалите картови организации).</w:t>
      </w:r>
    </w:p>
    <w:p w14:paraId="71619335" w14:textId="77777777" w:rsidR="00814B47" w:rsidRDefault="00C9247B">
      <w:pPr>
        <w:rPr>
          <w:lang w:val="bg-BG"/>
        </w:rPr>
      </w:pPr>
      <w:r>
        <w:rPr>
          <w:b/>
          <w:bCs/>
          <w:lang w:val="bg-BG"/>
        </w:rPr>
        <w:t>6.4.</w:t>
      </w:r>
      <w:r>
        <w:rPr>
          <w:lang w:val="bg-BG"/>
        </w:rPr>
        <w:t xml:space="preserve"> Плащането се счита за извършено с получаването на авторизация от банката издател. При отказ на авторизация Поръчката не се изпълнява и Потребителят се уведомява. При плащане с банков превод плащането се счита за извършено със заверяването на сметката на Сдружението с пълния размер на дължимата сума.</w:t>
      </w:r>
    </w:p>
    <w:p w14:paraId="2209BDBE" w14:textId="77777777" w:rsidR="00814B47" w:rsidRDefault="00C9247B">
      <w:pPr>
        <w:rPr>
          <w:lang w:val="bg-BG"/>
        </w:rPr>
      </w:pPr>
      <w:r>
        <w:rPr>
          <w:b/>
          <w:bCs/>
          <w:lang w:val="bg-BG"/>
        </w:rPr>
        <w:t>6.5.</w:t>
      </w:r>
      <w:r>
        <w:rPr>
          <w:lang w:val="bg-BG"/>
        </w:rPr>
        <w:t xml:space="preserve"> Сдружението не носи отговорност за неуспешни плащания, дължащи се на недостатъчна наличност, лимити, блокирана карта или технически проблеми в системите на банката издател или на Доставчика на платежни услуги.</w:t>
      </w:r>
    </w:p>
    <w:p w14:paraId="68537D6A" w14:textId="77777777" w:rsidR="00814B47" w:rsidRDefault="00C9247B">
      <w:pPr>
        <w:rPr>
          <w:lang w:val="bg-BG"/>
        </w:rPr>
      </w:pPr>
      <w:r>
        <w:rPr>
          <w:b/>
          <w:bCs/>
          <w:lang w:val="bg-BG"/>
        </w:rPr>
        <w:t>6.6.</w:t>
      </w:r>
      <w:r>
        <w:rPr>
          <w:lang w:val="bg-BG"/>
        </w:rPr>
        <w:t xml:space="preserve"> С извършването на плащане с карта Картодържателят декларира, че е законен държател на картата и е оправомощен да я използва. Сдружението може да откаже Поръчка при съмнение за неправомерно използване на карта.</w:t>
      </w:r>
    </w:p>
    <w:p w14:paraId="02AFF2E3" w14:textId="77777777" w:rsidR="00814B47" w:rsidRDefault="00C9247B">
      <w:pPr>
        <w:rPr>
          <w:lang w:val="bg-BG"/>
        </w:rPr>
      </w:pPr>
      <w:r>
        <w:rPr>
          <w:b/>
          <w:bCs/>
          <w:lang w:val="bg-BG"/>
        </w:rPr>
        <w:t>6.7.</w:t>
      </w:r>
      <w:r>
        <w:rPr>
          <w:lang w:val="bg-BG"/>
        </w:rPr>
        <w:t xml:space="preserve"> Сумите, подлежащи на възстановяване съгласно настоящите Общи условия или Условията на събитието, се възстановяват чрез същото платежно средство, което е използвано при първоначалното плащане – по картата, с която е извършено плащането, съответно по банковата сметка, от която е извършен преводът, освен ако Потребителят изрично не е поискал друг начин и това не води до разходи за него.</w:t>
      </w:r>
    </w:p>
    <w:p w14:paraId="299C8898" w14:textId="77777777" w:rsidR="00814B47" w:rsidRDefault="00C9247B">
      <w:pPr>
        <w:rPr>
          <w:b/>
          <w:bCs/>
          <w:lang w:val="bg-BG"/>
        </w:rPr>
      </w:pPr>
      <w:r>
        <w:rPr>
          <w:b/>
          <w:bCs/>
          <w:lang w:val="bg-BG"/>
        </w:rPr>
        <w:t>Раздел VII. Право на отказ, анулиране и възстановяване на суми</w:t>
      </w:r>
    </w:p>
    <w:p w14:paraId="33E83A7D" w14:textId="77777777" w:rsidR="00814B47" w:rsidRDefault="00C9247B">
      <w:pPr>
        <w:rPr>
          <w:lang w:val="bg-BG"/>
        </w:rPr>
      </w:pPr>
      <w:r>
        <w:rPr>
          <w:b/>
          <w:bCs/>
          <w:lang w:val="bg-BG"/>
        </w:rPr>
        <w:t>7.1.</w:t>
      </w:r>
      <w:r>
        <w:rPr>
          <w:lang w:val="bg-BG"/>
        </w:rPr>
        <w:t xml:space="preserve"> Право на отказ от договор от разстояние. Потребител, който има качеството „потребител“ по смисъла на ЗЗП, има право да се откаже от сключения договор, без да посочва причина и без да дължи обезщетение или неустойка, в срок от 14 (четиринадесет) дни, считано от датата на сключване на договора (чл. 50, т. 1 ЗЗП). Изключенията от правото на отказ са посочени в т. 7.3.</w:t>
      </w:r>
    </w:p>
    <w:p w14:paraId="15B3CF35" w14:textId="17DFB2B8" w:rsidR="00814B47" w:rsidRDefault="00C9247B">
      <w:pPr>
        <w:rPr>
          <w:lang w:val="bg-BG"/>
        </w:rPr>
      </w:pPr>
      <w:r>
        <w:rPr>
          <w:b/>
          <w:bCs/>
          <w:lang w:val="bg-BG"/>
        </w:rPr>
        <w:t>7.2.</w:t>
      </w:r>
      <w:r>
        <w:rPr>
          <w:lang w:val="bg-BG"/>
        </w:rPr>
        <w:t xml:space="preserve"> Упражняване на правото. Правото на отказ се упражнява чрез недвусмислено писмено изявление, изпратено на info@bscl.bg преди изтичане на срока по т. 7.1, като Потребителят може да използва стандартния формуляр за упражняване правото на отказ съгласно приложение № 6 към ЗЗП (чл. 52 ЗЗП). Когато договорът е сключен чрез онлайн интерфейса на Уебсайта, Потребителят може да упражни правото си на отказ и чрез функцията за отказ „Откажете се от договора тук“, която е на разположение на Уебсайта през целия срок за отказ (чл. 52а ЗЗП). Сдружението потвърждава получаването на отказа без забава и по начин, който позволява на получателя да го съхрани, прегледа по-късно и възпроизведе непроменено, а при отказ чрез функцията за отказ – не по-късно от края на работния ден, като посочва съдържанието на отказа и датата и часа на подаването му.</w:t>
      </w:r>
    </w:p>
    <w:p w14:paraId="4B06D4FE" w14:textId="77777777" w:rsidR="00814B47" w:rsidRDefault="00C9247B">
      <w:pPr>
        <w:rPr>
          <w:lang w:val="bg-BG"/>
        </w:rPr>
      </w:pPr>
      <w:r>
        <w:rPr>
          <w:b/>
          <w:bCs/>
          <w:lang w:val="bg-BG"/>
        </w:rPr>
        <w:t>7.3.</w:t>
      </w:r>
      <w:r>
        <w:rPr>
          <w:lang w:val="bg-BG"/>
        </w:rPr>
        <w:t xml:space="preserve"> Отказ от регистрация за събитие. Съгласно чл. 57, т. 12 ЗЗП правото на отказ по т. 7.1 не се прилага за договори за предоставяне на услуги, свързани с развлекателни дейности, ако договорът предвижда конкретна дата или срок за изпълнение. Отказът (анулирането) от регистрация за събитие, замяната на участник и неявяването се уреждат от Условията на съответното събитие.</w:t>
      </w:r>
    </w:p>
    <w:p w14:paraId="69A8D450" w14:textId="77777777" w:rsidR="00814B47" w:rsidRDefault="00C9247B">
      <w:pPr>
        <w:rPr>
          <w:lang w:val="bg-BG"/>
        </w:rPr>
      </w:pPr>
      <w:r>
        <w:rPr>
          <w:b/>
          <w:bCs/>
          <w:lang w:val="bg-BG"/>
        </w:rPr>
        <w:lastRenderedPageBreak/>
        <w:t>7.4.</w:t>
      </w:r>
      <w:r>
        <w:rPr>
          <w:lang w:val="bg-BG"/>
        </w:rPr>
        <w:t xml:space="preserve"> Членски внос. Членският внос е задължение, произтичащо от членството в Сдружението, и се дължи в размера и в сроковете, определени съгласно Устава и решенията на органите на Сдружението.</w:t>
      </w:r>
    </w:p>
    <w:p w14:paraId="760BD574" w14:textId="77777777" w:rsidR="00814B47" w:rsidRDefault="00C9247B">
      <w:pPr>
        <w:rPr>
          <w:lang w:val="bg-BG"/>
        </w:rPr>
      </w:pPr>
      <w:r>
        <w:rPr>
          <w:b/>
          <w:bCs/>
          <w:lang w:val="bg-BG"/>
        </w:rPr>
        <w:t>7.5.</w:t>
      </w:r>
      <w:r>
        <w:rPr>
          <w:lang w:val="bg-BG"/>
        </w:rPr>
        <w:t xml:space="preserve"> Отмяна, отлагане или промяна на събитие. Последиците от отмяна, отлагане или промяна на събитие от Сдружението се уреждат от Условията на съответното събитие (т. 15.3). Ако събитие или част от него бъде отменено от Сдружението, Потребителят има право на пълно възстановяване на таксата, заплатена за отменената част. При отлагане на събитие регистрацията се прехвърля за новата дата, а Потребител, който не може да присъства на новата дата, може да анулира регистрацията си без такса и да получи пълно възстановяване, като уведоми Сдружението писмено в срока, предвиден в Условията на събитието, а ако такъв не е предвиден – в 14-дневен срок от уведомяването за новата дата. При промяна, която изменя съществено характера на събитието, Потребителят може да избере да запази регистрацията си или да получи пълно възстановяване; промени в програмата, лекторите, часовете на сесиите или залите, които не изменят съществено характера на събитието, не дават право на безплатно анулиране. Сдружението не отговаря за разходи на участника за пътуване, настаняване, визи и други подобни разходи, освен при умисъл или груба небрежност.</w:t>
      </w:r>
    </w:p>
    <w:p w14:paraId="17C84295" w14:textId="77777777" w:rsidR="00814B47" w:rsidRDefault="00C9247B">
      <w:pPr>
        <w:rPr>
          <w:lang w:val="bg-BG"/>
        </w:rPr>
      </w:pPr>
      <w:r>
        <w:rPr>
          <w:b/>
          <w:bCs/>
          <w:lang w:val="bg-BG"/>
        </w:rPr>
        <w:t>7.6.</w:t>
      </w:r>
      <w:r>
        <w:rPr>
          <w:lang w:val="bg-BG"/>
        </w:rPr>
        <w:t xml:space="preserve"> Срок за възстановяване. При упражняване на правото на отказ по т. 7.1 дължимите суми се възстановяват без неоправдано забавяне и не по-късно от 14 (четиринадесет) дни от датата, на която Сдружението е уведомено за отказа съгласно т. 7.2, по начина, по който е извършено плащането (т. 6.7), без допълнителни разходи за Потребителя (чл. 54, ал. 1 и 2 ЗЗП). При анулиране на регистрация за събитие, както и при отмяна или отлагане на събитие по т. 7.5, сумите се възстановяват в срока и при условията, предвидени в Условията на съответното събитие, а ако такъв срок не е предвиден – в срок до 14 (четиринадесет) дни, по начина по т. 6.7.</w:t>
      </w:r>
    </w:p>
    <w:p w14:paraId="5FB72E4A" w14:textId="77777777" w:rsidR="00814B47" w:rsidRPr="00A70856" w:rsidRDefault="00C9247B">
      <w:pPr>
        <w:rPr>
          <w:b/>
          <w:bCs/>
          <w:lang w:val="bg-BG"/>
        </w:rPr>
      </w:pPr>
      <w:r>
        <w:rPr>
          <w:b/>
          <w:bCs/>
          <w:lang w:val="bg-BG"/>
        </w:rPr>
        <w:t>Раздел VIII. Рекламации</w:t>
      </w:r>
    </w:p>
    <w:p w14:paraId="5F99CC92" w14:textId="77777777" w:rsidR="00814B47" w:rsidRPr="00A70856" w:rsidRDefault="00C9247B">
      <w:pPr>
        <w:rPr>
          <w:lang w:val="bg-BG"/>
        </w:rPr>
      </w:pPr>
      <w:r>
        <w:rPr>
          <w:b/>
          <w:bCs/>
          <w:lang w:val="bg-BG"/>
        </w:rPr>
        <w:t>8.1.</w:t>
      </w:r>
      <w:r>
        <w:rPr>
          <w:lang w:val="bg-BG"/>
        </w:rPr>
        <w:t xml:space="preserve"> Потребителят има право да предяви рекламация, когато предоставената Услуга не съответства на договора (чл. 125 ЗЗП). Рекламацията може да бъде предявена устно или писмено – на адреса за кореспонденция по т. 1.2, на адреса на управление на Сдружението или по електронна поща на info@bscl.bg, като изборът на място принадлежи на Потребителя. При предявяване на рекламацията Потребителят посочва предмета ѝ, предпочитания начин за удовлетворяването ѝ (привеждане на Услугата в съответствие с договора, намаляване на цената или разваляне на договора и възстановяване на заплатената сума), съответно размера на претендираната сума, и адрес за контакт, като прилага документите, на които се основава претенцията (фактура или друг документ за плащането и други доказателства за несъответствието).</w:t>
      </w:r>
    </w:p>
    <w:p w14:paraId="5D684CAF" w14:textId="77777777" w:rsidR="00814B47" w:rsidRPr="00A70856" w:rsidRDefault="00C9247B">
      <w:pPr>
        <w:rPr>
          <w:lang w:val="bg-BG"/>
        </w:rPr>
      </w:pPr>
      <w:r>
        <w:rPr>
          <w:b/>
          <w:bCs/>
          <w:lang w:val="bg-BG"/>
        </w:rPr>
        <w:t>8.2.</w:t>
      </w:r>
      <w:r>
        <w:rPr>
          <w:lang w:val="bg-BG"/>
        </w:rPr>
        <w:t xml:space="preserve"> Сдружението вписва рекламацията в регистъра на рекламациите и предоставя на Потребителя документ, включително по електронна поща, съдържащ датата и номера, под който рекламацията е вписана, и вида на Услугата (чл. 127 ЗЗП). Сдружението се произнася по рекламацията писмено в срок до 30 (тридесет) дни от предявяването ѝ, а когато я удовлетвори – издава акт за това (чл. 128, ал. 2 ЗЗП). Предявяването на рекламация не е пречка за предявяване на иск (чл. 129 ЗЗП).</w:t>
      </w:r>
    </w:p>
    <w:p w14:paraId="7D0D4C8B" w14:textId="77777777" w:rsidR="00814B47" w:rsidRDefault="00C9247B">
      <w:pPr>
        <w:rPr>
          <w:b/>
          <w:bCs/>
          <w:lang w:val="bg-BG"/>
        </w:rPr>
      </w:pPr>
      <w:r>
        <w:rPr>
          <w:b/>
          <w:bCs/>
          <w:lang w:val="bg-BG"/>
        </w:rPr>
        <w:t>Раздел IX. Разрешаване на платежни спорове</w:t>
      </w:r>
    </w:p>
    <w:p w14:paraId="52DF548D" w14:textId="77777777" w:rsidR="00814B47" w:rsidRDefault="00C9247B">
      <w:pPr>
        <w:rPr>
          <w:lang w:val="bg-BG"/>
        </w:rPr>
      </w:pPr>
      <w:r>
        <w:rPr>
          <w:b/>
          <w:bCs/>
          <w:lang w:val="bg-BG"/>
        </w:rPr>
        <w:t>9.1.</w:t>
      </w:r>
      <w:r>
        <w:rPr>
          <w:lang w:val="bg-BG"/>
        </w:rPr>
        <w:t xml:space="preserve"> Спорове със Сдружението. При въпрос или спор, свързан с плащане (двойно или погрешно таксуване, неполучено възстановяване, неправилна сума, неизпълнена Услуга), Потребителят следва първо да се обърне към Сдружението на info@bscl.bg, като посочи датата, сумата, </w:t>
      </w:r>
      <w:r>
        <w:rPr>
          <w:lang w:val="bg-BG"/>
        </w:rPr>
        <w:lastRenderedPageBreak/>
        <w:t>последните четири цифри на картата и номера на Поръчката. Сдружението отговаря в срок до 14 дни и при основателност възстановява дължимата сума по реда на т. 6.7 и т. 7.6.</w:t>
      </w:r>
    </w:p>
    <w:p w14:paraId="7F904483" w14:textId="77777777" w:rsidR="00814B47" w:rsidRDefault="00C9247B">
      <w:pPr>
        <w:rPr>
          <w:lang w:val="bg-BG"/>
        </w:rPr>
      </w:pPr>
      <w:r>
        <w:rPr>
          <w:b/>
          <w:bCs/>
          <w:lang w:val="bg-BG"/>
        </w:rPr>
        <w:t>9.2.</w:t>
      </w:r>
      <w:r>
        <w:rPr>
          <w:lang w:val="bg-BG"/>
        </w:rPr>
        <w:t xml:space="preserve"> Неразрешени или неточно изпълнени платежни операции. Ако Картодържателят установи плащане, което не е разрешил, или неточно изпълнено плащане, той следва да уведоми банката издател на картата незабавно след узнаването, но не по-късно от 13 месеца от датата на задължаване на сметката, съгласно ЗПУПС. При загуба, кражба или неправомерно използване на картата Картодържателят следва незабавно да уведоми банката издател за блокиране на картата.</w:t>
      </w:r>
    </w:p>
    <w:p w14:paraId="758C3F76" w14:textId="77777777" w:rsidR="00814B47" w:rsidRDefault="00C9247B">
      <w:pPr>
        <w:rPr>
          <w:lang w:val="bg-BG"/>
        </w:rPr>
      </w:pPr>
      <w:r>
        <w:rPr>
          <w:b/>
          <w:bCs/>
          <w:lang w:val="bg-BG"/>
        </w:rPr>
        <w:t>9.3.</w:t>
      </w:r>
      <w:r>
        <w:rPr>
          <w:lang w:val="bg-BG"/>
        </w:rPr>
        <w:t xml:space="preserve"> Оспорване на плащане (chargeback). Картодържателят има право да оспори картово плащане пред банката издател по правилата на съответната картова организация (Visa, Mastercard, Diners Club International). При получаване на запитване или оспорване Сдружението предоставя на Доставчика на платежни услуги наличните документи за Поръчката и предоставената Услуга. Препоръчва се Потребителят първо да потърси решение по т. 9.1, тъй като това обикновено води до по-бързо възстановяване на средствата.</w:t>
      </w:r>
    </w:p>
    <w:p w14:paraId="4779D691" w14:textId="77777777" w:rsidR="00814B47" w:rsidRDefault="00C9247B">
      <w:pPr>
        <w:rPr>
          <w:lang w:val="bg-BG"/>
        </w:rPr>
      </w:pPr>
      <w:r>
        <w:rPr>
          <w:b/>
          <w:bCs/>
          <w:lang w:val="bg-BG"/>
        </w:rPr>
        <w:t>9.4.</w:t>
      </w:r>
      <w:r>
        <w:rPr>
          <w:lang w:val="bg-BG"/>
        </w:rPr>
        <w:t xml:space="preserve"> Спорове между Потребителя и неговия доставчик на платежни услуги могат да се отнасят и до Помирителната комисия за платежни спорове към Комисията за защита на потребителите (www.kzp.bg).</w:t>
      </w:r>
    </w:p>
    <w:p w14:paraId="3F701BED" w14:textId="77777777" w:rsidR="00814B47" w:rsidRDefault="00C9247B">
      <w:pPr>
        <w:rPr>
          <w:lang w:val="bg-BG"/>
        </w:rPr>
      </w:pPr>
      <w:r>
        <w:rPr>
          <w:b/>
          <w:bCs/>
          <w:lang w:val="bg-BG"/>
        </w:rPr>
        <w:t>9.5.</w:t>
      </w:r>
      <w:r>
        <w:rPr>
          <w:lang w:val="bg-BG"/>
        </w:rPr>
        <w:t xml:space="preserve"> Алтернативно решаване на потребителски спорове. Потребителите могат да отнесат спор със Сдружението до общите помирителни комисии към Комисията за защита на потребителите (гр. София 1000, пл. „Славейков“ № 4А; www.kzp.bg) или до друг орган за алтернативно решаване на спорове, вписан в списъка по чл. 181п ЗЗП. При трансгранични спорове Потребителят може да се обърне към Европейския потребителски център – България (www.ecc.kzp.bg).</w:t>
      </w:r>
    </w:p>
    <w:p w14:paraId="11D6B74E" w14:textId="77777777" w:rsidR="00814B47" w:rsidRDefault="00C9247B">
      <w:pPr>
        <w:rPr>
          <w:lang w:val="bg-BG"/>
        </w:rPr>
      </w:pPr>
      <w:r>
        <w:rPr>
          <w:b/>
          <w:bCs/>
          <w:lang w:val="bg-BG"/>
        </w:rPr>
        <w:t>9.6.</w:t>
      </w:r>
      <w:r>
        <w:rPr>
          <w:lang w:val="bg-BG"/>
        </w:rPr>
        <w:t xml:space="preserve"> Когато спорът не бъде разрешен по извънсъдебен ред, той се отнася до компетентния български съд, а когато Потребителят не е потребител – до компетентния съд в гр. София. Когато Потребителят е потребител, той запазва защитата на императивните правила за подсъдност, действащи в негова полза, включително правото да предяви иск и да бъде съден само пред съдилищата на държавата, в която има местоживеене.</w:t>
      </w:r>
    </w:p>
    <w:p w14:paraId="673BA338" w14:textId="77777777" w:rsidR="00814B47" w:rsidRDefault="00C9247B">
      <w:pPr>
        <w:rPr>
          <w:b/>
          <w:bCs/>
          <w:lang w:val="bg-BG"/>
        </w:rPr>
      </w:pPr>
      <w:r>
        <w:rPr>
          <w:b/>
          <w:bCs/>
          <w:lang w:val="bg-BG"/>
        </w:rPr>
        <w:t>Раздел X. Защита на личните данни</w:t>
      </w:r>
    </w:p>
    <w:p w14:paraId="72EE6CD8" w14:textId="77777777" w:rsidR="00814B47" w:rsidRDefault="00C9247B">
      <w:pPr>
        <w:rPr>
          <w:lang w:val="bg-BG"/>
        </w:rPr>
      </w:pPr>
      <w:r>
        <w:rPr>
          <w:b/>
          <w:bCs/>
          <w:lang w:val="bg-BG"/>
        </w:rPr>
        <w:t>10.1.</w:t>
      </w:r>
      <w:r>
        <w:rPr>
          <w:lang w:val="bg-BG"/>
        </w:rPr>
        <w:t xml:space="preserve"> Сдружението обработва личните данни на Потребителите съгласно Регламент (ЕС) 2016/679 (ОРЗД), Закона за защита на личните данни и приложимото българско и европейско законодателство, за следните цели: регистрация и организиране на участие в събития; комуникация относно събитията; обработка на плащания и издаване на фактури; издаване на сертификати за участие; подобряване на качеството на събитията и услугите; маркетиране на бъдещи събития и инициативи; изпълнение на счетоводни, данъчни и други законови задължения; защита на законни права и интереси и защита при правни претенции. Категориите обработвани данни, правните основания, получателите, сроковете за съхранение и правата на субектите на данни са посочени в Уведомлението за поверителност, публикувано на Уебсайта. Снимките и записите от събития се уреждат от раздел 5 от Уведомлението за поверителност и от Условията на съответното събитие, а включването в списъка на участниците – от Условията на съответното събитие.</w:t>
      </w:r>
    </w:p>
    <w:p w14:paraId="52DCD39C" w14:textId="77777777" w:rsidR="00814B47" w:rsidRDefault="00C9247B">
      <w:pPr>
        <w:rPr>
          <w:lang w:val="bg-BG"/>
        </w:rPr>
      </w:pPr>
      <w:r>
        <w:rPr>
          <w:b/>
          <w:bCs/>
          <w:lang w:val="bg-BG"/>
        </w:rPr>
        <w:t>10.2.</w:t>
      </w:r>
      <w:r>
        <w:rPr>
          <w:lang w:val="bg-BG"/>
        </w:rPr>
        <w:t xml:space="preserve"> Данните на картата се обработват единствено от Доставчика на платежни услуги като самостоятелен администратор. Сдружението получава само информация за резултата от плащането (одобрено/отказано, сума, дата, референтен номер).</w:t>
      </w:r>
    </w:p>
    <w:p w14:paraId="40D29734" w14:textId="77777777" w:rsidR="00814B47" w:rsidRDefault="00C9247B">
      <w:pPr>
        <w:rPr>
          <w:b/>
          <w:bCs/>
          <w:lang w:val="bg-BG"/>
        </w:rPr>
      </w:pPr>
      <w:r>
        <w:rPr>
          <w:b/>
          <w:bCs/>
          <w:lang w:val="bg-BG"/>
        </w:rPr>
        <w:t>Раздел XI. Права и задължения на страните</w:t>
      </w:r>
    </w:p>
    <w:p w14:paraId="521151FC" w14:textId="77777777" w:rsidR="00814B47" w:rsidRDefault="00C9247B">
      <w:pPr>
        <w:rPr>
          <w:lang w:val="bg-BG"/>
        </w:rPr>
      </w:pPr>
      <w:r>
        <w:rPr>
          <w:b/>
          <w:bCs/>
          <w:lang w:val="bg-BG"/>
        </w:rPr>
        <w:lastRenderedPageBreak/>
        <w:t>11.1.</w:t>
      </w:r>
      <w:r>
        <w:rPr>
          <w:lang w:val="bg-BG"/>
        </w:rPr>
        <w:t xml:space="preserve"> Потребителят има право: (а) на достъп в реално време до Услугите, предоставяни чрез Уебсайта, при спазване на изискванията за достъп, определени от Сдружението; (б) да упражнява правата си като субект на данни (право на достъп, коригиране, изтриване, ограничаване на обработването, възражение, преносимост и оттегляне на съгласие, както и право на жалба до Комисията за защита на личните данни) по реда на раздел 9 от Уведомлението за поверителност; (в) да оттегли по всяко време съгласието си да получава търговски съобщения от Сдружението; (г) по всяко време да прекрати по своя преценка ползването на предоставяните Услуги, без това да засяга вече сключените договори и дължимите по тях плащания; (д) на отказ от договора в случаите и по реда на т. 7.1 и т. 7.2, а по отношение на регистрация за събитие – на отказ (анулиране) съгласно Условията на съответното събитие (т. 7.3); (е) на възстановяване на заплатените суми при отмяна или отлагане на събитие от Сдружението съгласно т. 7.5, т. 7.6 и Условията на съответното събитие; (ж) на рекламация по реда на Раздел VIII; (з) да отнесе спор със Сдружението за извънсъдебно разрешаване по реда на т. 9.5.</w:t>
      </w:r>
    </w:p>
    <w:p w14:paraId="16262432" w14:textId="77777777" w:rsidR="00814B47" w:rsidRDefault="00C9247B">
      <w:pPr>
        <w:rPr>
          <w:lang w:val="bg-BG"/>
        </w:rPr>
      </w:pPr>
      <w:r>
        <w:rPr>
          <w:b/>
          <w:bCs/>
          <w:lang w:val="bg-BG"/>
        </w:rPr>
        <w:t>11.2.</w:t>
      </w:r>
      <w:r>
        <w:rPr>
          <w:lang w:val="bg-BG"/>
        </w:rPr>
        <w:t xml:space="preserve"> Потребителят се задължава: да предоставя вярна и пълна информация при ползване на Услугите; да заплаща в срок цената на заявените Услуги; да спазва българското законодателство, настоящите Общи условия и добрите нрави; да не нарушава права на трети лица, включително права на интелектуална собственост; да не извършва Злоумишлени действия по смисъла на настоящите Общи условия; да не използва Уебсайта по начин, който нарушава нормалната му работа, и да не извлича систематично съдържание от него.</w:t>
      </w:r>
    </w:p>
    <w:p w14:paraId="6296DB6F" w14:textId="77777777" w:rsidR="00814B47" w:rsidRDefault="00C9247B">
      <w:pPr>
        <w:rPr>
          <w:lang w:val="bg-BG"/>
        </w:rPr>
      </w:pPr>
      <w:r>
        <w:rPr>
          <w:b/>
          <w:bCs/>
          <w:lang w:val="bg-BG"/>
        </w:rPr>
        <w:t>11.3.</w:t>
      </w:r>
      <w:r>
        <w:rPr>
          <w:lang w:val="bg-BG"/>
        </w:rPr>
        <w:t xml:space="preserve"> Сдружението има право: (а) да променя обхвата, съдържанието и цените на Услугите, без това да засяга вече сключени договори (т. 4.2 и т. 14.1); (б) да откаже достъп до определени Услуги или да прекрати незабавно предоставянето им на Потребител, който нарушава българското законодателство, настоящите Общи условия или правата на Сдружението или на трети лица, като по отношение на регистрация за събитие се прилагат Условията на съответното събитие; (в) да поставя на Уебсайта електронни препратки и информация за събития и инициативи на трети лица, свързани с дейността на Сдружението; (г) да предоставя информация на компетентни държавни органи, ако има основание да се предположи, че поведението на Потребителя представлява престъпление или административно нарушение; (д) да преустановява за в бъдеще предоставянето на конкретни Услуги, като уведоми Потребителите чрез публикуване на съобщение на Уебсайта, а за вече заплатени Услуги, които няма да бъдат предоставени, възстановява заплатените суми по реда на т. 6.7.</w:t>
      </w:r>
    </w:p>
    <w:p w14:paraId="1C58BDCE" w14:textId="77777777" w:rsidR="00814B47" w:rsidRDefault="00C9247B">
      <w:pPr>
        <w:rPr>
          <w:lang w:val="bg-BG"/>
        </w:rPr>
      </w:pPr>
      <w:r>
        <w:rPr>
          <w:b/>
          <w:bCs/>
          <w:lang w:val="bg-BG"/>
        </w:rPr>
        <w:t>11.4.</w:t>
      </w:r>
      <w:r>
        <w:rPr>
          <w:lang w:val="bg-BG"/>
        </w:rPr>
        <w:t xml:space="preserve"> Сдружението се задължава: да предостави на Потребителя преди сключването на договора по ясен и разбираем начин информацията по чл. 4 от Закона за електронната търговия и чл. 47 ЗЗП; да потвърди сключения договор на траен носител (т. 5.2); да предостави заплатените Услуги съгласно описанието им на Уебсайта и Условията на съответното събитие; да осигури защитена среда за плащане чрез Доставчика на платежни услуги; да обработва рекламациите и исканията за възстановяване и да възстановява дължимите суми в посочените в настоящите Общи условия срокове; да полага дължимата грижа за изпълнение на своите задължения по настоящите Общи условия.</w:t>
      </w:r>
    </w:p>
    <w:p w14:paraId="2BA1D058" w14:textId="77777777" w:rsidR="00814B47" w:rsidRDefault="00C9247B">
      <w:pPr>
        <w:rPr>
          <w:lang w:val="bg-BG"/>
        </w:rPr>
      </w:pPr>
      <w:r>
        <w:rPr>
          <w:b/>
          <w:bCs/>
          <w:lang w:val="bg-BG"/>
        </w:rPr>
        <w:t>11.5.</w:t>
      </w:r>
      <w:r>
        <w:rPr>
          <w:lang w:val="bg-BG"/>
        </w:rPr>
        <w:t xml:space="preserve"> Потребителят се задължава да обезщети Сдружението за претърпените вреди и пропуснатите ползи, включително платени обезщетения на трети лица и разноски, доколкото се дължат съгласно закона, настъпили вследствие на виновно нарушение от негова страна на приложимото законодателство, на настоящите Общи условия или на права на трети лица при използване на Уебсайта.</w:t>
      </w:r>
    </w:p>
    <w:p w14:paraId="31260E8C" w14:textId="77777777" w:rsidR="00814B47" w:rsidRDefault="00C9247B">
      <w:pPr>
        <w:rPr>
          <w:b/>
          <w:bCs/>
          <w:lang w:val="bg-BG"/>
        </w:rPr>
      </w:pPr>
      <w:r>
        <w:rPr>
          <w:b/>
          <w:bCs/>
          <w:lang w:val="bg-BG"/>
        </w:rPr>
        <w:t>Раздел XII. Интелектуална собственост</w:t>
      </w:r>
    </w:p>
    <w:p w14:paraId="5A28CD22" w14:textId="77777777" w:rsidR="00814B47" w:rsidRDefault="00C9247B">
      <w:pPr>
        <w:rPr>
          <w:lang w:val="bg-BG"/>
        </w:rPr>
      </w:pPr>
      <w:r>
        <w:rPr>
          <w:b/>
          <w:bCs/>
          <w:lang w:val="bg-BG"/>
        </w:rPr>
        <w:lastRenderedPageBreak/>
        <w:t>12.1.</w:t>
      </w:r>
      <w:r>
        <w:rPr>
          <w:lang w:val="bg-BG"/>
        </w:rPr>
        <w:t xml:space="preserve"> Съдържанието на Уебсайта (текстове, публикации, лого, графичен дизайн, материали от събития) е обект на авторско право и принадлежи на Сдружението или на посочените автори. Копирането и разпространението му без писмено съгласие е забранено, освен за лична некомерсиална употреба с посочване на източника и в случаите на свободно използване, допустими по Закона за авторското право и сродните му права. Материалите, предоставяни на участниците в събития, се ползват съгласно Условията на съответното събитие.</w:t>
      </w:r>
    </w:p>
    <w:p w14:paraId="2B41CBFD" w14:textId="77777777" w:rsidR="00814B47" w:rsidRDefault="00C9247B">
      <w:pPr>
        <w:rPr>
          <w:lang w:val="bg-BG"/>
        </w:rPr>
      </w:pPr>
      <w:r>
        <w:rPr>
          <w:b/>
          <w:bCs/>
          <w:lang w:val="bg-BG"/>
        </w:rPr>
        <w:t>12.2.</w:t>
      </w:r>
      <w:r>
        <w:rPr>
          <w:lang w:val="bg-BG"/>
        </w:rPr>
        <w:t xml:space="preserve"> При копиране или разпространение на съдържанието на Уебсайта извън допустимото по т. 12.1, както и при всяко друго нарушение на правата на интелектуална собственост на Сдружението, Сдружението има право да търси обезщетение за причинените вреди, както и да упражни останалите средства за защита, предвидени в Закона за авторското право и сродните му права и в другото приложимо законодателство.</w:t>
      </w:r>
    </w:p>
    <w:p w14:paraId="5CC3AD93" w14:textId="77777777" w:rsidR="00814B47" w:rsidRDefault="00C9247B">
      <w:pPr>
        <w:rPr>
          <w:b/>
          <w:bCs/>
          <w:lang w:val="bg-BG"/>
        </w:rPr>
      </w:pPr>
      <w:r>
        <w:rPr>
          <w:b/>
          <w:bCs/>
          <w:lang w:val="bg-BG"/>
        </w:rPr>
        <w:t>Раздел XIII. Отговорност и непреодолима сила</w:t>
      </w:r>
    </w:p>
    <w:p w14:paraId="02AA5A43" w14:textId="19B9996D" w:rsidR="00814B47" w:rsidRDefault="00C9247B">
      <w:pPr>
        <w:rPr>
          <w:lang w:val="bg-BG"/>
        </w:rPr>
      </w:pPr>
      <w:r>
        <w:rPr>
          <w:b/>
          <w:bCs/>
          <w:lang w:val="bg-BG"/>
        </w:rPr>
        <w:t>13.1.</w:t>
      </w:r>
      <w:r>
        <w:rPr>
          <w:lang w:val="bg-BG"/>
        </w:rPr>
        <w:t xml:space="preserve"> Сдружението не отговаря за прекъсвания в достъпа до Уебсайта поради причини извън неговия контрол, включително проблеми в мрежата Интернет, хакерски атаки или действия на трети лица. Сдружението полага грижи информацията на Уебсайта да бъде вярна и актуална, но не гарантира нейната пълнота, точност и липса на грешки, нито непрекъснатост, навременност или сигурност на достъпа до Уебсайта, включително при извършване на временни технически тестове или профилактика.</w:t>
      </w:r>
    </w:p>
    <w:p w14:paraId="5B0F7E5B" w14:textId="77777777" w:rsidR="00814B47" w:rsidRDefault="00C9247B">
      <w:pPr>
        <w:rPr>
          <w:lang w:val="bg-BG"/>
        </w:rPr>
      </w:pPr>
      <w:r>
        <w:rPr>
          <w:b/>
          <w:bCs/>
          <w:lang w:val="bg-BG"/>
        </w:rPr>
        <w:t>13.2.</w:t>
      </w:r>
      <w:r>
        <w:rPr>
          <w:lang w:val="bg-BG"/>
        </w:rPr>
        <w:t xml:space="preserve"> Никоя от страните не отговаря за неизпълнение, причинено от непреодолима сила – непредвидено или непредотвратимо събитие от извънреден характер, настъпило след сключването на договора, за което засегнатата страна не отговаря (чл. 81 от Закона за задълженията и договорите), включително пожар, наводнение, земетресение или друго природно бедствие, екстремни метеорологични условия, епидемия или пандемия, война, военни действия, гражданско вълнение, терористични действия, ембарго, стачка, прекъсване на комунални услуги или транспорт, недостъпност на мястото на провеждане, кибератака, действия на държавен орган или друго обстоятелство извън разумния контрол на засегнатата страна. Страната, засегната от непреодолима сила, уведомява другата страна в какво се състои обстоятелството и какви са възможните последици за изпълнението. Ако събитие не може да се проведе поради непреодолима сила, Сдружението може да го промени, отложи или отмени, като се прилагат т. 7.5 и Условията на съответното събитие, а Потребителят-потребител винаги запазва правото си на пълно възстановяване на таксата за непроведеното събитие или част от него. Ако непреодолимата сила продължи повече от 30 (тридесет) дни, всяка от страните може да прекрати договора с уведомление до другата страна, без да дължи обезщетение за претърпени вреди.</w:t>
      </w:r>
    </w:p>
    <w:p w14:paraId="0B0FDBAF" w14:textId="77777777" w:rsidR="00814B47" w:rsidRDefault="00C9247B">
      <w:pPr>
        <w:rPr>
          <w:lang w:val="bg-BG"/>
        </w:rPr>
      </w:pPr>
      <w:r>
        <w:rPr>
          <w:b/>
          <w:bCs/>
          <w:lang w:val="bg-BG"/>
        </w:rPr>
        <w:t>13.3.</w:t>
      </w:r>
      <w:r>
        <w:rPr>
          <w:lang w:val="bg-BG"/>
        </w:rPr>
        <w:t xml:space="preserve"> Нищо в настоящите Общи условия не ограничава правата на потребителите, предоставени им от императивни разпоредби на закона.</w:t>
      </w:r>
    </w:p>
    <w:p w14:paraId="290A01A6" w14:textId="77777777" w:rsidR="00814B47" w:rsidRDefault="00C9247B">
      <w:pPr>
        <w:rPr>
          <w:b/>
          <w:bCs/>
          <w:lang w:val="bg-BG"/>
        </w:rPr>
      </w:pPr>
      <w:r>
        <w:rPr>
          <w:b/>
          <w:bCs/>
          <w:lang w:val="bg-BG"/>
        </w:rPr>
        <w:t>Раздел XIV. Изменение на Общите условия</w:t>
      </w:r>
    </w:p>
    <w:p w14:paraId="776B2030" w14:textId="77777777" w:rsidR="00814B47" w:rsidRDefault="00C9247B">
      <w:pPr>
        <w:rPr>
          <w:lang w:val="bg-BG"/>
        </w:rPr>
      </w:pPr>
      <w:r>
        <w:rPr>
          <w:b/>
          <w:bCs/>
          <w:lang w:val="bg-BG"/>
        </w:rPr>
        <w:t>14.1.</w:t>
      </w:r>
      <w:r>
        <w:rPr>
          <w:lang w:val="bg-BG"/>
        </w:rPr>
        <w:t xml:space="preserve"> Сдружението може да изменя настоящите Общи условия, когато това е необходимо по правни, регулаторни или организационни причини, като публикува изменението на Уебсайта с посочване на датата на влизането му в сила. За всяка Поръчка се прилага редакцията на Общите условия, действаща към момента на нейното извършване. Измененията не засягат вече сключени договори, освен с изричното съгласие на Потребителя или когато изменението се изисква от закона; в тези случаи Сдружението уведомява засегнатите Потребители по електронна поща.</w:t>
      </w:r>
    </w:p>
    <w:p w14:paraId="2D061C2C" w14:textId="77777777" w:rsidR="00814B47" w:rsidRDefault="00C9247B">
      <w:pPr>
        <w:rPr>
          <w:b/>
          <w:bCs/>
          <w:lang w:val="bg-BG"/>
        </w:rPr>
      </w:pPr>
      <w:r>
        <w:rPr>
          <w:b/>
          <w:bCs/>
          <w:lang w:val="bg-BG"/>
        </w:rPr>
        <w:lastRenderedPageBreak/>
        <w:t>Раздел XV. Приложимо право и заключителни разпоредби</w:t>
      </w:r>
    </w:p>
    <w:p w14:paraId="5564DA81" w14:textId="77777777" w:rsidR="00814B47" w:rsidRDefault="00C9247B">
      <w:pPr>
        <w:rPr>
          <w:lang w:val="bg-BG"/>
        </w:rPr>
      </w:pPr>
      <w:r>
        <w:rPr>
          <w:b/>
          <w:bCs/>
          <w:lang w:val="bg-BG"/>
        </w:rPr>
        <w:t>15.1.</w:t>
      </w:r>
      <w:r>
        <w:rPr>
          <w:lang w:val="bg-BG"/>
        </w:rPr>
        <w:t xml:space="preserve"> За неуредените въпроси се прилага действащото българско законодателство, включително Законът за задълженията и договорите, Законът за защита на потребителите, Законът за електронната търговия, Законът за електронния документ и електронните удостоверителни услуги, Законът за платежните услуги и платежните системи, Законът за авторското право и сродните му права и Законът за юридическите лица с нестопанска цел. Когато Потребителят е потребител с обичайно местопребиваване в друга държава, изборът на българското право не го лишава от защитата, предоставена му от императивните разпоредби на правото на тази държава.</w:t>
      </w:r>
    </w:p>
    <w:p w14:paraId="4463DD01" w14:textId="77777777" w:rsidR="00814B47" w:rsidRDefault="00C9247B">
      <w:pPr>
        <w:rPr>
          <w:lang w:val="bg-BG"/>
        </w:rPr>
      </w:pPr>
      <w:r>
        <w:rPr>
          <w:b/>
          <w:bCs/>
          <w:lang w:val="bg-BG"/>
        </w:rPr>
        <w:t>15.2.</w:t>
      </w:r>
      <w:r>
        <w:rPr>
          <w:lang w:val="bg-BG"/>
        </w:rPr>
        <w:t xml:space="preserve"> Ако някоя разпоредба се окаже недействителна, това не засяга действието на останалите разпоредби, а недействителната разпоредба се замества по право от повелителните норми на закона.</w:t>
      </w:r>
    </w:p>
    <w:p w14:paraId="684AFFA3" w14:textId="77777777" w:rsidR="00814B47" w:rsidRDefault="00C9247B">
      <w:pPr>
        <w:rPr>
          <w:lang w:val="bg-BG"/>
        </w:rPr>
      </w:pPr>
      <w:r>
        <w:rPr>
          <w:b/>
          <w:bCs/>
          <w:lang w:val="bg-BG"/>
        </w:rPr>
        <w:t>15.3.</w:t>
      </w:r>
      <w:r>
        <w:rPr>
          <w:lang w:val="bg-BG"/>
        </w:rPr>
        <w:t xml:space="preserve"> Съотношение с Условията на събитието. Условията на съответното събитие са специални условия по отношение на регистрацията и участието в него и представляват неразделна част от договора за участие. При противоречие между настоящите Общи условия и Условията на събитието предимство имат Условията на събитието, доколкото не противоречат на повелителни разпоредби на закона. По въпросите, които не са уредени в Условията на събитието, се прилагат настоящите Общи условия.</w:t>
      </w:r>
    </w:p>
    <w:p w14:paraId="59633B86" w14:textId="77777777" w:rsidR="00814B47" w:rsidRDefault="00C9247B">
      <w:pPr>
        <w:rPr>
          <w:lang w:val="bg-BG"/>
        </w:rPr>
      </w:pPr>
      <w:r>
        <w:rPr>
          <w:b/>
          <w:bCs/>
          <w:lang w:val="bg-BG"/>
        </w:rPr>
        <w:t>15.4.</w:t>
      </w:r>
      <w:r>
        <w:rPr>
          <w:lang w:val="bg-BG"/>
        </w:rPr>
        <w:t xml:space="preserve"> Езикови версии. Настоящите Общи условия се публикуват на български и английски език. При несъответствие между двете езикови версии предимство има текстът на български език.</w:t>
      </w:r>
    </w:p>
    <w:p w14:paraId="609BD077" w14:textId="77777777" w:rsidR="00814B47" w:rsidRDefault="00C9247B">
      <w:pPr>
        <w:rPr>
          <w:lang w:val="bg-BG"/>
        </w:rPr>
      </w:pPr>
      <w:r>
        <w:rPr>
          <w:b/>
          <w:bCs/>
          <w:lang w:val="bg-BG"/>
        </w:rPr>
        <w:t>15.5.</w:t>
      </w:r>
      <w:r>
        <w:rPr>
          <w:lang w:val="bg-BG"/>
        </w:rPr>
        <w:t xml:space="preserve"> Настоящите Общи условия са приети с решение на Управителния съвет на Сдружението от 16.10.2026 г. и влизат в сила от 16.10.2026 г.</w:t>
      </w:r>
    </w:p>
    <w:p w14:paraId="2E2A900B" w14:textId="77777777" w:rsidR="00814B47" w:rsidRDefault="00814B47">
      <w:pPr>
        <w:rPr>
          <w:rFonts w:asciiTheme="minorHAnsi" w:hAnsiTheme="minorHAnsi" w:cstheme="minorHAnsi"/>
          <w:lang w:val="bg-BG"/>
        </w:rPr>
      </w:pPr>
    </w:p>
    <w:sectPr w:rsidR="00814B47">
      <w:footerReference w:type="even" r:id="rId10"/>
      <w:footerReference w:type="default" r:id="rId11"/>
      <w:footerReference w:type="first" r:id="rId12"/>
      <w:pgSz w:w="11906" w:h="16838"/>
      <w:pgMar w:top="1418" w:right="1418" w:bottom="1418" w:left="1418" w:header="0" w:footer="454"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0577C" w14:textId="77777777" w:rsidR="00472B28" w:rsidRDefault="00472B28">
      <w:pPr>
        <w:spacing w:after="0"/>
      </w:pPr>
      <w:r>
        <w:separator/>
      </w:r>
    </w:p>
  </w:endnote>
  <w:endnote w:type="continuationSeparator" w:id="0">
    <w:p w14:paraId="6AB7EC94" w14:textId="77777777" w:rsidR="00472B28" w:rsidRDefault="00472B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94B9" w14:textId="77777777" w:rsidR="00814B47" w:rsidRDefault="00814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D8A4" w14:textId="77777777" w:rsidR="00814B47" w:rsidRDefault="00C9247B">
    <w:pPr>
      <w:pStyle w:val="Footer"/>
      <w:jc w:val="center"/>
    </w:pPr>
    <w:r>
      <w:fldChar w:fldCharType="begin"/>
    </w:r>
    <w:r>
      <w:instrText xml:space="preserve"> PAGE </w:instrText>
    </w:r>
    <w:r>
      <w:fldChar w:fldCharType="separate"/>
    </w:r>
    <w: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3F72" w14:textId="77777777" w:rsidR="00814B47" w:rsidRDefault="00814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3CDBC" w14:textId="77777777" w:rsidR="00472B28" w:rsidRDefault="00472B28">
      <w:pPr>
        <w:spacing w:after="0"/>
      </w:pPr>
      <w:r>
        <w:separator/>
      </w:r>
    </w:p>
  </w:footnote>
  <w:footnote w:type="continuationSeparator" w:id="0">
    <w:p w14:paraId="76749B20" w14:textId="77777777" w:rsidR="00472B28" w:rsidRDefault="00472B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70F2"/>
    <w:multiLevelType w:val="multilevel"/>
    <w:tmpl w:val="84F4FFE6"/>
    <w:lvl w:ilvl="0">
      <w:start w:val="1"/>
      <w:numFmt w:val="decimal"/>
      <w:pStyle w:val="Level1"/>
      <w:lvlText w:val="%1."/>
      <w:lvlJc w:val="left"/>
      <w:pPr>
        <w:tabs>
          <w:tab w:val="num" w:pos="624"/>
        </w:tabs>
        <w:ind w:left="624" w:hanging="624"/>
      </w:pPr>
      <w:rPr>
        <w:b w:val="0"/>
        <w:i w:val="0"/>
        <w:u w:val="none"/>
      </w:rPr>
    </w:lvl>
    <w:lvl w:ilvl="1">
      <w:start w:val="1"/>
      <w:numFmt w:val="decimal"/>
      <w:pStyle w:val="Level2"/>
      <w:lvlText w:val="%1.%2"/>
      <w:lvlJc w:val="left"/>
      <w:pPr>
        <w:tabs>
          <w:tab w:val="num" w:pos="624"/>
        </w:tabs>
        <w:ind w:left="624" w:hanging="624"/>
      </w:pPr>
      <w:rPr>
        <w:b w:val="0"/>
        <w:i w:val="0"/>
        <w:u w:val="none"/>
      </w:rPr>
    </w:lvl>
    <w:lvl w:ilvl="2">
      <w:start w:val="1"/>
      <w:numFmt w:val="decimal"/>
      <w:pStyle w:val="Level3"/>
      <w:lvlText w:val="%1.%2.%3"/>
      <w:lvlJc w:val="left"/>
      <w:pPr>
        <w:tabs>
          <w:tab w:val="num" w:pos="1361"/>
        </w:tabs>
        <w:ind w:left="1361" w:hanging="737"/>
      </w:pPr>
      <w:rPr>
        <w:b w:val="0"/>
        <w:i w:val="0"/>
        <w:u w:val="none"/>
      </w:rPr>
    </w:lvl>
    <w:lvl w:ilvl="3">
      <w:start w:val="1"/>
      <w:numFmt w:val="lowerLetter"/>
      <w:pStyle w:val="Level4"/>
      <w:lvlText w:val="(%4)"/>
      <w:lvlJc w:val="left"/>
      <w:pPr>
        <w:tabs>
          <w:tab w:val="num" w:pos="2039"/>
        </w:tabs>
        <w:ind w:left="2039" w:hanging="678"/>
      </w:pPr>
      <w:rPr>
        <w:b w:val="0"/>
        <w:i w:val="0"/>
        <w:u w:val="none"/>
      </w:rPr>
    </w:lvl>
    <w:lvl w:ilvl="4">
      <w:start w:val="1"/>
      <w:numFmt w:val="decimal"/>
      <w:pStyle w:val="Level5"/>
      <w:lvlText w:val="(%5)"/>
      <w:lvlJc w:val="left"/>
      <w:pPr>
        <w:tabs>
          <w:tab w:val="num" w:pos="2723"/>
        </w:tabs>
        <w:ind w:left="2723" w:hanging="684"/>
      </w:pPr>
      <w:rPr>
        <w:b w:val="0"/>
        <w:i w:val="0"/>
        <w:u w:val="none"/>
      </w:rPr>
    </w:lvl>
    <w:lvl w:ilvl="5">
      <w:start w:val="1"/>
      <w:numFmt w:val="lowerRoman"/>
      <w:lvlText w:val="(%6)"/>
      <w:lvlJc w:val="left"/>
      <w:pPr>
        <w:tabs>
          <w:tab w:val="num" w:pos="3403"/>
        </w:tabs>
        <w:ind w:left="3403" w:hanging="680"/>
      </w:pPr>
    </w:lvl>
    <w:lvl w:ilvl="6">
      <w:start w:val="1"/>
      <w:numFmt w:val="upperRoman"/>
      <w:pStyle w:val="Level7"/>
      <w:lvlText w:val="(%7)"/>
      <w:lvlJc w:val="left"/>
      <w:pPr>
        <w:tabs>
          <w:tab w:val="num" w:pos="4083"/>
        </w:tabs>
        <w:ind w:left="4083" w:hanging="680"/>
      </w:pPr>
    </w:lvl>
    <w:lvl w:ilvl="7">
      <w:start w:val="1"/>
      <w:numFmt w:val="none"/>
      <w:suff w:val="nothing"/>
      <w:lvlText w:val="(Not Defined)"/>
      <w:lvlJc w:val="left"/>
      <w:pPr>
        <w:tabs>
          <w:tab w:val="num" w:pos="4763"/>
        </w:tabs>
        <w:ind w:left="4763" w:hanging="680"/>
      </w:pPr>
    </w:lvl>
    <w:lvl w:ilvl="8">
      <w:start w:val="1"/>
      <w:numFmt w:val="none"/>
      <w:suff w:val="nothing"/>
      <w:lvlText w:val="(Not Defined)"/>
      <w:lvlJc w:val="left"/>
      <w:pPr>
        <w:tabs>
          <w:tab w:val="num" w:pos="5443"/>
        </w:tabs>
        <w:ind w:left="5443" w:hanging="680"/>
      </w:pPr>
    </w:lvl>
  </w:abstractNum>
  <w:abstractNum w:abstractNumId="1" w15:restartNumberingAfterBreak="0">
    <w:nsid w:val="2795322D"/>
    <w:multiLevelType w:val="multilevel"/>
    <w:tmpl w:val="4EB62EBA"/>
    <w:lvl w:ilvl="0">
      <w:start w:val="1"/>
      <w:numFmt w:val="decimal"/>
      <w:pStyle w:val="Parties"/>
      <w:lvlText w:val="(%1)"/>
      <w:lvlJc w:val="left"/>
      <w:pPr>
        <w:tabs>
          <w:tab w:val="num" w:pos="624"/>
        </w:tabs>
        <w:ind w:left="624" w:hanging="62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9770113"/>
    <w:multiLevelType w:val="multilevel"/>
    <w:tmpl w:val="CB561F1A"/>
    <w:lvl w:ilvl="0">
      <w:start w:val="1"/>
      <w:numFmt w:val="decimal"/>
      <w:lvlText w:val="Rule %1"/>
      <w:lvlJc w:val="left"/>
      <w:pPr>
        <w:tabs>
          <w:tab w:val="num" w:pos="1077"/>
        </w:tabs>
        <w:ind w:left="1077" w:hanging="1077"/>
      </w:pPr>
      <w:rPr>
        <w:b/>
        <w:i w:val="0"/>
      </w:rPr>
    </w:lvl>
    <w:lvl w:ilvl="1">
      <w:start w:val="1"/>
      <w:numFmt w:val="decimal"/>
      <w:lvlText w:val="%1.%2"/>
      <w:lvlJc w:val="left"/>
      <w:pPr>
        <w:tabs>
          <w:tab w:val="num" w:pos="1077"/>
        </w:tabs>
        <w:ind w:left="1077" w:hanging="1077"/>
      </w:pPr>
    </w:lvl>
    <w:lvl w:ilvl="2">
      <w:start w:val="1"/>
      <w:numFmt w:val="decimal"/>
      <w:lvlText w:val="%1.%2.%3"/>
      <w:lvlJc w:val="left"/>
      <w:pPr>
        <w:tabs>
          <w:tab w:val="num" w:pos="2211"/>
        </w:tabs>
        <w:ind w:left="2211" w:hanging="1134"/>
      </w:pPr>
    </w:lvl>
    <w:lvl w:ilvl="3">
      <w:start w:val="1"/>
      <w:numFmt w:val="decimal"/>
      <w:lvlText w:val="%1.%2.%3.%4"/>
      <w:lvlJc w:val="left"/>
      <w:pPr>
        <w:tabs>
          <w:tab w:val="num" w:pos="3686"/>
        </w:tabs>
        <w:ind w:left="3686" w:hanging="1475"/>
      </w:pPr>
    </w:lvl>
    <w:lvl w:ilvl="4">
      <w:start w:val="1"/>
      <w:numFmt w:val="decimal"/>
      <w:pStyle w:val="Rule5"/>
      <w:lvlText w:val="%1.%2.%3.%4.%5"/>
      <w:lvlJc w:val="left"/>
      <w:pPr>
        <w:tabs>
          <w:tab w:val="num" w:pos="3686"/>
        </w:tabs>
        <w:ind w:left="3686" w:hanging="1475"/>
      </w:pPr>
    </w:lvl>
    <w:lvl w:ilvl="5">
      <w:start w:val="1"/>
      <w:numFmt w:val="none"/>
      <w:suff w:val="nothing"/>
      <w:lvlText w:val="(Not Defined)"/>
      <w:lvlJc w:val="left"/>
      <w:pPr>
        <w:tabs>
          <w:tab w:val="num" w:pos="1440"/>
        </w:tabs>
        <w:ind w:left="1152" w:hanging="1152"/>
      </w:pPr>
    </w:lvl>
    <w:lvl w:ilvl="6">
      <w:start w:val="1"/>
      <w:numFmt w:val="none"/>
      <w:suff w:val="nothing"/>
      <w:lvlText w:val="(Not Defined)"/>
      <w:lvlJc w:val="left"/>
      <w:pPr>
        <w:tabs>
          <w:tab w:val="num" w:pos="1440"/>
        </w:tabs>
        <w:ind w:left="1296" w:hanging="1296"/>
      </w:pPr>
    </w:lvl>
    <w:lvl w:ilvl="7">
      <w:start w:val="1"/>
      <w:numFmt w:val="none"/>
      <w:suff w:val="nothing"/>
      <w:lvlText w:val="(Not Defined)"/>
      <w:lvlJc w:val="left"/>
      <w:pPr>
        <w:tabs>
          <w:tab w:val="num" w:pos="1440"/>
        </w:tabs>
        <w:ind w:left="1440" w:hanging="1440"/>
      </w:pPr>
    </w:lvl>
    <w:lvl w:ilvl="8">
      <w:start w:val="1"/>
      <w:numFmt w:val="none"/>
      <w:suff w:val="nothing"/>
      <w:lvlText w:val="(Not Defined)"/>
      <w:lvlJc w:val="left"/>
      <w:pPr>
        <w:tabs>
          <w:tab w:val="num" w:pos="1584"/>
        </w:tabs>
        <w:ind w:left="1584" w:hanging="1584"/>
      </w:pPr>
    </w:lvl>
  </w:abstractNum>
  <w:abstractNum w:abstractNumId="3" w15:restartNumberingAfterBreak="0">
    <w:nsid w:val="29A00C1A"/>
    <w:multiLevelType w:val="multilevel"/>
    <w:tmpl w:val="972866A0"/>
    <w:lvl w:ilvl="0">
      <w:start w:val="1"/>
      <w:numFmt w:val="decimal"/>
      <w:pStyle w:val="Heading1"/>
      <w:lvlText w:val="%1."/>
      <w:lvlJc w:val="left"/>
      <w:pPr>
        <w:tabs>
          <w:tab w:val="num" w:pos="624"/>
        </w:tabs>
        <w:ind w:left="624" w:hanging="624"/>
      </w:pPr>
      <w:rPr>
        <w:b w:val="0"/>
        <w:i w:val="0"/>
        <w:u w:val="none"/>
      </w:rPr>
    </w:lvl>
    <w:lvl w:ilvl="1">
      <w:start w:val="1"/>
      <w:numFmt w:val="decimal"/>
      <w:pStyle w:val="Heading2"/>
      <w:lvlText w:val="%1.%2"/>
      <w:lvlJc w:val="left"/>
      <w:pPr>
        <w:tabs>
          <w:tab w:val="num" w:pos="624"/>
        </w:tabs>
        <w:ind w:left="624" w:hanging="624"/>
      </w:pPr>
      <w:rPr>
        <w:b w:val="0"/>
        <w:i w:val="0"/>
        <w:u w:val="none"/>
      </w:rPr>
    </w:lvl>
    <w:lvl w:ilvl="2">
      <w:start w:val="1"/>
      <w:numFmt w:val="decimal"/>
      <w:pStyle w:val="Heading3"/>
      <w:lvlText w:val="%1.%2.%3"/>
      <w:lvlJc w:val="left"/>
      <w:pPr>
        <w:tabs>
          <w:tab w:val="num" w:pos="1361"/>
        </w:tabs>
        <w:ind w:left="1361" w:hanging="737"/>
      </w:pPr>
      <w:rPr>
        <w:b w:val="0"/>
        <w:i w:val="0"/>
        <w:u w:val="none"/>
      </w:rPr>
    </w:lvl>
    <w:lvl w:ilvl="3">
      <w:start w:val="1"/>
      <w:numFmt w:val="lowerLetter"/>
      <w:pStyle w:val="Heading4"/>
      <w:lvlText w:val="(%4)"/>
      <w:lvlJc w:val="left"/>
      <w:pPr>
        <w:tabs>
          <w:tab w:val="num" w:pos="2039"/>
        </w:tabs>
        <w:ind w:left="2039" w:hanging="678"/>
      </w:pPr>
      <w:rPr>
        <w:b w:val="0"/>
        <w:i w:val="0"/>
        <w:u w:val="none"/>
      </w:rPr>
    </w:lvl>
    <w:lvl w:ilvl="4">
      <w:start w:val="1"/>
      <w:numFmt w:val="decimal"/>
      <w:pStyle w:val="Heading5"/>
      <w:lvlText w:val="(%5)"/>
      <w:lvlJc w:val="left"/>
      <w:pPr>
        <w:tabs>
          <w:tab w:val="num" w:pos="2723"/>
        </w:tabs>
        <w:ind w:left="2723" w:hanging="684"/>
      </w:pPr>
      <w:rPr>
        <w:b w:val="0"/>
        <w:i w:val="0"/>
        <w:u w:val="none"/>
      </w:rPr>
    </w:lvl>
    <w:lvl w:ilvl="5">
      <w:start w:val="1"/>
      <w:numFmt w:val="lowerRoman"/>
      <w:lvlText w:val="(%6)"/>
      <w:lvlJc w:val="left"/>
      <w:pPr>
        <w:tabs>
          <w:tab w:val="num" w:pos="3403"/>
        </w:tabs>
        <w:ind w:left="3403" w:hanging="680"/>
      </w:pPr>
    </w:lvl>
    <w:lvl w:ilvl="6">
      <w:start w:val="1"/>
      <w:numFmt w:val="upperRoman"/>
      <w:lvlText w:val="(%7)"/>
      <w:lvlJc w:val="left"/>
      <w:pPr>
        <w:tabs>
          <w:tab w:val="num" w:pos="4083"/>
        </w:tabs>
        <w:ind w:left="4083" w:hanging="680"/>
      </w:pPr>
    </w:lvl>
    <w:lvl w:ilvl="7">
      <w:start w:val="1"/>
      <w:numFmt w:val="none"/>
      <w:suff w:val="nothing"/>
      <w:lvlText w:val="(Not Defined)"/>
      <w:lvlJc w:val="left"/>
      <w:pPr>
        <w:tabs>
          <w:tab w:val="num" w:pos="4763"/>
        </w:tabs>
        <w:ind w:left="4763" w:hanging="680"/>
      </w:pPr>
    </w:lvl>
    <w:lvl w:ilvl="8">
      <w:start w:val="1"/>
      <w:numFmt w:val="none"/>
      <w:suff w:val="nothing"/>
      <w:lvlText w:val="(Not Defined)"/>
      <w:lvlJc w:val="left"/>
      <w:pPr>
        <w:tabs>
          <w:tab w:val="num" w:pos="5443"/>
        </w:tabs>
        <w:ind w:left="5443" w:hanging="680"/>
      </w:pPr>
    </w:lvl>
  </w:abstractNum>
  <w:abstractNum w:abstractNumId="4" w15:restartNumberingAfterBreak="0">
    <w:nsid w:val="2D170691"/>
    <w:multiLevelType w:val="multilevel"/>
    <w:tmpl w:val="4E4661C4"/>
    <w:lvl w:ilvl="0">
      <w:start w:val="1"/>
      <w:numFmt w:val="lowerLetter"/>
      <w:pStyle w:val="aBankingDefinition"/>
      <w:lvlText w:val="(%1)"/>
      <w:lvlJc w:val="left"/>
      <w:pPr>
        <w:tabs>
          <w:tab w:val="num" w:pos="1361"/>
        </w:tabs>
        <w:ind w:left="1361" w:hanging="737"/>
      </w:pPr>
    </w:lvl>
    <w:lvl w:ilvl="1">
      <w:start w:val="1"/>
      <w:numFmt w:val="lowerRoman"/>
      <w:lvlText w:val="(%2)"/>
      <w:lvlJc w:val="left"/>
      <w:pPr>
        <w:tabs>
          <w:tab w:val="num" w:pos="2039"/>
        </w:tabs>
        <w:ind w:left="2039" w:hanging="678"/>
      </w:pPr>
    </w:lvl>
    <w:lvl w:ilvl="2">
      <w:start w:val="1"/>
      <w:numFmt w:val="lowerRoman"/>
      <w:lvlText w:val="(%3)"/>
      <w:lvlJc w:val="left"/>
      <w:pPr>
        <w:tabs>
          <w:tab w:val="num" w:pos="4253"/>
        </w:tabs>
        <w:ind w:left="4253" w:hanging="1134"/>
      </w:pPr>
    </w:lvl>
    <w:lvl w:ilvl="3">
      <w:start w:val="1"/>
      <w:numFmt w:val="lowerLetter"/>
      <w:lvlText w:val="(%4)"/>
      <w:lvlJc w:val="left"/>
      <w:pPr>
        <w:tabs>
          <w:tab w:val="num" w:pos="4253"/>
        </w:tabs>
        <w:ind w:left="4253" w:hanging="1134"/>
      </w:pPr>
    </w:lvl>
    <w:lvl w:ilvl="4">
      <w:start w:val="1"/>
      <w:numFmt w:val="none"/>
      <w:suff w:val="nothing"/>
      <w:lvlText w:val=""/>
      <w:lvlJc w:val="left"/>
      <w:pPr>
        <w:tabs>
          <w:tab w:val="num" w:pos="2880"/>
        </w:tabs>
        <w:ind w:left="2232" w:hanging="792"/>
      </w:pPr>
    </w:lvl>
    <w:lvl w:ilvl="5">
      <w:start w:val="1"/>
      <w:numFmt w:val="none"/>
      <w:suff w:val="nothing"/>
      <w:lvlText w:val=""/>
      <w:lvlJc w:val="left"/>
      <w:pPr>
        <w:tabs>
          <w:tab w:val="num" w:pos="3240"/>
        </w:tabs>
        <w:ind w:left="2736" w:hanging="936"/>
      </w:pPr>
    </w:lvl>
    <w:lvl w:ilvl="6">
      <w:start w:val="1"/>
      <w:numFmt w:val="none"/>
      <w:suff w:val="nothing"/>
      <w:lvlText w:val=""/>
      <w:lvlJc w:val="left"/>
      <w:pPr>
        <w:tabs>
          <w:tab w:val="num" w:pos="3960"/>
        </w:tabs>
        <w:ind w:left="3240" w:hanging="1080"/>
      </w:pPr>
    </w:lvl>
    <w:lvl w:ilvl="7">
      <w:start w:val="1"/>
      <w:numFmt w:val="none"/>
      <w:suff w:val="nothing"/>
      <w:lvlText w:val=""/>
      <w:lvlJc w:val="left"/>
      <w:pPr>
        <w:tabs>
          <w:tab w:val="num" w:pos="4680"/>
        </w:tabs>
        <w:ind w:left="3744" w:hanging="1224"/>
      </w:pPr>
    </w:lvl>
    <w:lvl w:ilvl="8">
      <w:start w:val="1"/>
      <w:numFmt w:val="none"/>
      <w:suff w:val="nothing"/>
      <w:lvlText w:val=""/>
      <w:lvlJc w:val="left"/>
      <w:pPr>
        <w:tabs>
          <w:tab w:val="num" w:pos="5040"/>
        </w:tabs>
        <w:ind w:left="4320" w:hanging="1440"/>
      </w:pPr>
    </w:lvl>
  </w:abstractNum>
  <w:abstractNum w:abstractNumId="5" w15:restartNumberingAfterBreak="0">
    <w:nsid w:val="303E7788"/>
    <w:multiLevelType w:val="multilevel"/>
    <w:tmpl w:val="F76A4D94"/>
    <w:lvl w:ilvl="0">
      <w:start w:val="1"/>
      <w:numFmt w:val="none"/>
      <w:pStyle w:val="Body"/>
      <w:suff w:val="nothing"/>
      <w:lvlText w:val=""/>
      <w:lvlJc w:val="left"/>
      <w:pPr>
        <w:tabs>
          <w:tab w:val="num" w:pos="0"/>
        </w:tabs>
        <w:ind w:left="0" w:firstLine="0"/>
      </w:pPr>
      <w:rPr>
        <w:b w:val="0"/>
        <w:i w:val="0"/>
      </w:rPr>
    </w:lvl>
    <w:lvl w:ilvl="1">
      <w:start w:val="1"/>
      <w:numFmt w:val="lowerLetter"/>
      <w:lvlText w:val="(%2)"/>
      <w:lvlJc w:val="left"/>
      <w:pPr>
        <w:tabs>
          <w:tab w:val="num" w:pos="624"/>
        </w:tabs>
        <w:ind w:left="624" w:hanging="624"/>
      </w:pPr>
    </w:lvl>
    <w:lvl w:ilvl="2">
      <w:start w:val="1"/>
      <w:numFmt w:val="lowerRoman"/>
      <w:lvlText w:val="(%3)"/>
      <w:lvlJc w:val="left"/>
      <w:pPr>
        <w:tabs>
          <w:tab w:val="num" w:pos="1361"/>
        </w:tabs>
        <w:ind w:left="1361" w:hanging="737"/>
      </w:pPr>
    </w:lvl>
    <w:lvl w:ilvl="3">
      <w:start w:val="1"/>
      <w:numFmt w:val="bullet"/>
      <w:lvlText w:val=""/>
      <w:lvlJc w:val="left"/>
      <w:pPr>
        <w:tabs>
          <w:tab w:val="num" w:pos="1440"/>
        </w:tabs>
        <w:ind w:left="1440" w:hanging="360"/>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7245066"/>
    <w:multiLevelType w:val="multilevel"/>
    <w:tmpl w:val="4A8AF662"/>
    <w:lvl w:ilvl="0">
      <w:start w:val="1"/>
      <w:numFmt w:val="decimal"/>
      <w:pStyle w:val="Schedule"/>
      <w:lvlText w:val="%1"/>
      <w:lvlJc w:val="center"/>
      <w:pPr>
        <w:tabs>
          <w:tab w:val="num" w:pos="0"/>
        </w:tabs>
        <w:ind w:left="0" w:firstLine="0"/>
      </w:pPr>
      <w:rPr>
        <w:vanish/>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7F113B7"/>
    <w:multiLevelType w:val="multilevel"/>
    <w:tmpl w:val="EC88A080"/>
    <w:lvl w:ilvl="0">
      <w:start w:val="1"/>
      <w:numFmt w:val="upperLetter"/>
      <w:pStyle w:val="Background"/>
      <w:lvlText w:val="(%1)"/>
      <w:lvlJc w:val="left"/>
      <w:pPr>
        <w:tabs>
          <w:tab w:val="num" w:pos="1361"/>
        </w:tabs>
        <w:ind w:left="1361" w:hanging="73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A714103"/>
    <w:multiLevelType w:val="multilevel"/>
    <w:tmpl w:val="C4EAEF84"/>
    <w:lvl w:ilvl="0">
      <w:start w:val="1"/>
      <w:numFmt w:val="lowerLetter"/>
      <w:pStyle w:val="abcdDefinition"/>
      <w:lvlText w:val="(%1)"/>
      <w:lvlJc w:val="left"/>
      <w:pPr>
        <w:tabs>
          <w:tab w:val="num" w:pos="0"/>
        </w:tabs>
        <w:ind w:left="851" w:hanging="851"/>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48845CA"/>
    <w:multiLevelType w:val="multilevel"/>
    <w:tmpl w:val="1D860068"/>
    <w:lvl w:ilvl="0">
      <w:start w:val="1"/>
      <w:numFmt w:val="decimal"/>
      <w:pStyle w:val="Section"/>
      <w:lvlText w:val="SECTION %1"/>
      <w:lvlJc w:val="left"/>
      <w:pPr>
        <w:tabs>
          <w:tab w:val="num" w:pos="0"/>
        </w:tabs>
        <w:ind w:left="360" w:hanging="360"/>
      </w:pPr>
      <w:rPr>
        <w:b/>
        <w:i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7908086C"/>
    <w:multiLevelType w:val="multilevel"/>
    <w:tmpl w:val="9FCCDA54"/>
    <w:lvl w:ilvl="0">
      <w:start w:val="1"/>
      <w:numFmt w:val="bullet"/>
      <w:pStyle w:val="Bullet1"/>
      <w:lvlText w:val=""/>
      <w:lvlJc w:val="left"/>
      <w:pPr>
        <w:tabs>
          <w:tab w:val="num" w:pos="240"/>
        </w:tabs>
        <w:ind w:left="240" w:hanging="240"/>
      </w:pPr>
      <w:rPr>
        <w:rFonts w:ascii="Symbol" w:hAnsi="Symbol" w:cs="Symbol" w:hint="default"/>
        <w:b w:val="0"/>
        <w:i w:val="0"/>
        <w:u w:val="none"/>
      </w:rPr>
    </w:lvl>
    <w:lvl w:ilvl="1">
      <w:start w:val="1"/>
      <w:numFmt w:val="bullet"/>
      <w:pStyle w:val="Bullet2"/>
      <w:lvlText w:val=""/>
      <w:lvlJc w:val="left"/>
      <w:pPr>
        <w:tabs>
          <w:tab w:val="num" w:pos="600"/>
        </w:tabs>
        <w:ind w:left="600" w:hanging="240"/>
      </w:pPr>
      <w:rPr>
        <w:rFonts w:ascii="Symbol" w:hAnsi="Symbol" w:cs="Symbol" w:hint="default"/>
        <w:b w:val="0"/>
        <w:i w:val="0"/>
        <w:u w:val="none"/>
      </w:rPr>
    </w:lvl>
    <w:lvl w:ilvl="2">
      <w:start w:val="1"/>
      <w:numFmt w:val="bullet"/>
      <w:pStyle w:val="Bullet3"/>
      <w:lvlText w:val=""/>
      <w:lvlJc w:val="left"/>
      <w:pPr>
        <w:tabs>
          <w:tab w:val="num" w:pos="960"/>
        </w:tabs>
        <w:ind w:left="960" w:hanging="240"/>
      </w:pPr>
      <w:rPr>
        <w:rFonts w:ascii="Symbol" w:hAnsi="Symbol" w:cs="Symbol" w:hint="default"/>
        <w:b w:val="0"/>
        <w:i w:val="0"/>
        <w:u w:val="none"/>
      </w:rPr>
    </w:lvl>
    <w:lvl w:ilvl="3">
      <w:start w:val="1"/>
      <w:numFmt w:val="lowerLetter"/>
      <w:isLgl/>
      <w:lvlText w:val="%1(Not Defined)"/>
      <w:lvlJc w:val="left"/>
      <w:pPr>
        <w:tabs>
          <w:tab w:val="num" w:pos="4505"/>
        </w:tabs>
        <w:ind w:left="4122" w:hanging="1417"/>
      </w:pPr>
      <w:rPr>
        <w:b w:val="0"/>
        <w:i w:val="0"/>
        <w:u w:val="none"/>
      </w:rPr>
    </w:lvl>
    <w:lvl w:ilvl="4">
      <w:start w:val="1"/>
      <w:numFmt w:val="none"/>
      <w:suff w:val="nothing"/>
      <w:lvlText w:val="(Not Defined)"/>
      <w:lvlJc w:val="left"/>
      <w:pPr>
        <w:tabs>
          <w:tab w:val="num" w:pos="5562"/>
        </w:tabs>
        <w:ind w:left="4689" w:hanging="567"/>
      </w:pPr>
      <w:rPr>
        <w:b w:val="0"/>
        <w:i w:val="0"/>
        <w:u w:val="none"/>
      </w:rPr>
    </w:lvl>
    <w:lvl w:ilvl="5">
      <w:start w:val="1"/>
      <w:numFmt w:val="none"/>
      <w:suff w:val="nothing"/>
      <w:lvlText w:val="(Not Defined)"/>
      <w:lvlJc w:val="left"/>
      <w:pPr>
        <w:tabs>
          <w:tab w:val="num" w:pos="6129"/>
        </w:tabs>
        <w:ind w:left="5256" w:hanging="567"/>
      </w:pPr>
      <w:rPr>
        <w:b w:val="0"/>
        <w:i w:val="0"/>
      </w:rPr>
    </w:lvl>
    <w:lvl w:ilvl="6">
      <w:start w:val="1"/>
      <w:numFmt w:val="none"/>
      <w:suff w:val="nothing"/>
      <w:lvlText w:val="(Not Defined)"/>
      <w:lvlJc w:val="left"/>
      <w:pPr>
        <w:tabs>
          <w:tab w:val="num" w:pos="4320"/>
        </w:tabs>
        <w:ind w:left="3960" w:hanging="1080"/>
      </w:pPr>
      <w:rPr>
        <w:b w:val="0"/>
        <w:i w:val="0"/>
      </w:rPr>
    </w:lvl>
    <w:lvl w:ilvl="7">
      <w:start w:val="1"/>
      <w:numFmt w:val="none"/>
      <w:suff w:val="nothing"/>
      <w:lvlText w:val="(Not Defined)"/>
      <w:lvlJc w:val="left"/>
      <w:pPr>
        <w:tabs>
          <w:tab w:val="num" w:pos="4680"/>
        </w:tabs>
        <w:ind w:left="4464" w:hanging="1224"/>
      </w:pPr>
      <w:rPr>
        <w:b w:val="0"/>
        <w:i w:val="0"/>
      </w:rPr>
    </w:lvl>
    <w:lvl w:ilvl="8">
      <w:start w:val="1"/>
      <w:numFmt w:val="none"/>
      <w:suff w:val="nothing"/>
      <w:lvlText w:val="(Not Defined)"/>
      <w:lvlJc w:val="left"/>
      <w:pPr>
        <w:tabs>
          <w:tab w:val="num" w:pos="5040"/>
        </w:tabs>
        <w:ind w:left="5040" w:hanging="1440"/>
      </w:pPr>
      <w:rPr>
        <w:b w:val="0"/>
        <w:i w:val="0"/>
      </w:rPr>
    </w:lvl>
  </w:abstractNum>
  <w:abstractNum w:abstractNumId="11" w15:restartNumberingAfterBreak="0">
    <w:nsid w:val="7B5E0E09"/>
    <w:multiLevelType w:val="multilevel"/>
    <w:tmpl w:val="1E3A1586"/>
    <w:lvl w:ilvl="0">
      <w:start w:val="1"/>
      <w:numFmt w:val="decimal"/>
      <w:pStyle w:val="Part"/>
      <w:lvlText w:val="Part %1"/>
      <w:lvlJc w:val="left"/>
      <w:pPr>
        <w:tabs>
          <w:tab w:val="num" w:pos="851"/>
        </w:tabs>
        <w:ind w:left="851" w:hanging="851"/>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7BF65119"/>
    <w:multiLevelType w:val="multilevel"/>
    <w:tmpl w:val="E3C6A182"/>
    <w:lvl w:ilvl="0">
      <w:start w:val="1"/>
      <w:numFmt w:val="upperRoman"/>
      <w:pStyle w:val="PartBanking"/>
      <w:lvlText w:val="Part %1"/>
      <w:lvlJc w:val="left"/>
      <w:pPr>
        <w:tabs>
          <w:tab w:val="num" w:pos="851"/>
        </w:tabs>
        <w:ind w:left="851" w:hanging="851"/>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1562984898">
    <w:abstractNumId w:val="3"/>
  </w:num>
  <w:num w:numId="2" w16cid:durableId="47072953">
    <w:abstractNumId w:val="2"/>
  </w:num>
  <w:num w:numId="3" w16cid:durableId="447815989">
    <w:abstractNumId w:val="8"/>
  </w:num>
  <w:num w:numId="4" w16cid:durableId="159468850">
    <w:abstractNumId w:val="4"/>
  </w:num>
  <w:num w:numId="5" w16cid:durableId="1794446673">
    <w:abstractNumId w:val="7"/>
  </w:num>
  <w:num w:numId="6" w16cid:durableId="62876712">
    <w:abstractNumId w:val="10"/>
  </w:num>
  <w:num w:numId="7" w16cid:durableId="1223756601">
    <w:abstractNumId w:val="1"/>
  </w:num>
  <w:num w:numId="8" w16cid:durableId="793673640">
    <w:abstractNumId w:val="6"/>
  </w:num>
  <w:num w:numId="9" w16cid:durableId="2115440386">
    <w:abstractNumId w:val="5"/>
  </w:num>
  <w:num w:numId="10" w16cid:durableId="135493518">
    <w:abstractNumId w:val="12"/>
  </w:num>
  <w:num w:numId="11" w16cid:durableId="2010714716">
    <w:abstractNumId w:val="11"/>
  </w:num>
  <w:num w:numId="12" w16cid:durableId="887569841">
    <w:abstractNumId w:val="9"/>
  </w:num>
  <w:num w:numId="13" w16cid:durableId="1196888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47"/>
    <w:rsid w:val="00087CDB"/>
    <w:rsid w:val="0009789C"/>
    <w:rsid w:val="000D22FE"/>
    <w:rsid w:val="00224D3F"/>
    <w:rsid w:val="00245571"/>
    <w:rsid w:val="002B269A"/>
    <w:rsid w:val="002D668B"/>
    <w:rsid w:val="002E330C"/>
    <w:rsid w:val="00387AEE"/>
    <w:rsid w:val="00417A09"/>
    <w:rsid w:val="00436DA7"/>
    <w:rsid w:val="004472FD"/>
    <w:rsid w:val="00472B28"/>
    <w:rsid w:val="004F42DB"/>
    <w:rsid w:val="00554927"/>
    <w:rsid w:val="005A5416"/>
    <w:rsid w:val="006052E8"/>
    <w:rsid w:val="006138CB"/>
    <w:rsid w:val="006243DD"/>
    <w:rsid w:val="0069715D"/>
    <w:rsid w:val="006A6F70"/>
    <w:rsid w:val="006C2749"/>
    <w:rsid w:val="006F5A2F"/>
    <w:rsid w:val="00734137"/>
    <w:rsid w:val="00735F2E"/>
    <w:rsid w:val="007826D7"/>
    <w:rsid w:val="007A671D"/>
    <w:rsid w:val="00814B47"/>
    <w:rsid w:val="0085111B"/>
    <w:rsid w:val="009014E0"/>
    <w:rsid w:val="00926593"/>
    <w:rsid w:val="00927C1D"/>
    <w:rsid w:val="009427CA"/>
    <w:rsid w:val="00955EE4"/>
    <w:rsid w:val="009A4099"/>
    <w:rsid w:val="009D55EF"/>
    <w:rsid w:val="00A4698F"/>
    <w:rsid w:val="00A70856"/>
    <w:rsid w:val="00A775B6"/>
    <w:rsid w:val="00A82254"/>
    <w:rsid w:val="00AF23E5"/>
    <w:rsid w:val="00BF4170"/>
    <w:rsid w:val="00C9247B"/>
    <w:rsid w:val="00C92600"/>
    <w:rsid w:val="00CE3DF5"/>
    <w:rsid w:val="00D126C3"/>
    <w:rsid w:val="00DA36A4"/>
    <w:rsid w:val="00DA387F"/>
    <w:rsid w:val="00DA444C"/>
    <w:rsid w:val="00DF2C7F"/>
    <w:rsid w:val="00EC05DA"/>
    <w:rsid w:val="00F2272F"/>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AB29"/>
  <w15:docId w15:val="{65689647-3C48-4A57-B152-71C3280D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Display" w:eastAsia="Aptos Display" w:hAnsi="Aptos Display" w:cs="Aptos Display"/>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Body1"/>
    <w:next w:val="Body"/>
    <w:qFormat/>
    <w:pPr>
      <w:numPr>
        <w:numId w:val="1"/>
      </w:numPr>
      <w:outlineLvl w:val="0"/>
    </w:pPr>
    <w:rPr>
      <w:b/>
      <w:caps/>
    </w:rPr>
  </w:style>
  <w:style w:type="paragraph" w:styleId="Heading2">
    <w:name w:val="heading 2"/>
    <w:basedOn w:val="Body2"/>
    <w:next w:val="Body"/>
    <w:qFormat/>
    <w:pPr>
      <w:numPr>
        <w:ilvl w:val="1"/>
        <w:numId w:val="1"/>
      </w:numPr>
      <w:outlineLvl w:val="1"/>
    </w:pPr>
  </w:style>
  <w:style w:type="paragraph" w:styleId="Heading3">
    <w:name w:val="heading 3"/>
    <w:basedOn w:val="Body3"/>
    <w:next w:val="Body"/>
    <w:qFormat/>
    <w:pPr>
      <w:numPr>
        <w:ilvl w:val="2"/>
        <w:numId w:val="1"/>
      </w:numPr>
      <w:outlineLvl w:val="2"/>
    </w:pPr>
  </w:style>
  <w:style w:type="paragraph" w:styleId="Heading4">
    <w:name w:val="heading 4"/>
    <w:basedOn w:val="Body4"/>
    <w:next w:val="Body"/>
    <w:qFormat/>
    <w:pPr>
      <w:numPr>
        <w:ilvl w:val="3"/>
        <w:numId w:val="1"/>
      </w:numPr>
      <w:outlineLvl w:val="3"/>
    </w:pPr>
  </w:style>
  <w:style w:type="paragraph" w:styleId="Heading5">
    <w:name w:val="heading 5"/>
    <w:basedOn w:val="Body5"/>
    <w:next w:val="Body"/>
    <w:qFormat/>
    <w:pPr>
      <w:numPr>
        <w:ilvl w:val="4"/>
        <w:numId w:val="1"/>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qFormat/>
    <w:rPr>
      <w:b/>
    </w:rPr>
  </w:style>
  <w:style w:type="character" w:customStyle="1" w:styleId="FootnoteCharacters">
    <w:name w:val="Footnote Characters"/>
    <w:basedOn w:val="DefaultParagraphFont"/>
    <w:semiHidden/>
    <w:qFormat/>
    <w:rPr>
      <w:rFonts w:ascii="Times New Roman" w:eastAsia="Times New Roman" w:hAnsi="Times New Roman" w:cs="Times New Roman"/>
      <w:color w:val="auto"/>
      <w:sz w:val="20"/>
      <w:szCs w:val="20"/>
      <w:u w:val="none"/>
      <w:vertAlign w:val="superscript"/>
    </w:rPr>
  </w:style>
  <w:style w:type="character" w:styleId="FootnoteReference">
    <w:name w:val="footnote reference"/>
    <w:rPr>
      <w:rFonts w:ascii="Times New Roman" w:eastAsia="Times New Roman" w:hAnsi="Times New Roman" w:cs="Times New Roman"/>
      <w:color w:val="auto"/>
      <w:sz w:val="20"/>
      <w:szCs w:val="20"/>
      <w:u w:val="none"/>
      <w:vertAlign w:val="superscript"/>
    </w:rPr>
  </w:style>
  <w:style w:type="character" w:customStyle="1" w:styleId="Level1asHeadingtext">
    <w:name w:val="Level 1 as Heading (text)"/>
    <w:basedOn w:val="DefaultParagraphFont"/>
    <w:qFormat/>
    <w:rPr>
      <w:b/>
    </w:rPr>
  </w:style>
  <w:style w:type="character" w:customStyle="1" w:styleId="Level2asHeadingtext">
    <w:name w:val="Level 2 as Heading (text)"/>
    <w:basedOn w:val="DefaultParagraphFont"/>
    <w:qFormat/>
    <w:rPr>
      <w:b/>
    </w:rPr>
  </w:style>
  <w:style w:type="character" w:customStyle="1" w:styleId="Level3asHeadingtext">
    <w:name w:val="Level 3 as Heading (text)"/>
    <w:basedOn w:val="DefaultParagraphFont"/>
    <w:qFormat/>
    <w:rPr>
      <w:b/>
    </w:rPr>
  </w:style>
  <w:style w:type="character" w:styleId="PageNumber">
    <w:name w:val="page number"/>
    <w:basedOn w:val="DefaultParagraphFont"/>
    <w:semiHidden/>
    <w:rPr>
      <w:sz w:val="20"/>
    </w:rPr>
  </w:style>
  <w:style w:type="character" w:customStyle="1" w:styleId="HeaderChar">
    <w:name w:val="Header Char"/>
    <w:basedOn w:val="DefaultParagraphFont"/>
    <w:link w:val="Header"/>
    <w:qFormat/>
    <w:rPr>
      <w:sz w:val="20"/>
    </w:rPr>
  </w:style>
  <w:style w:type="character" w:customStyle="1" w:styleId="FooterChar">
    <w:name w:val="Footer Char"/>
    <w:basedOn w:val="DefaultParagraphFont"/>
    <w:link w:val="Footer"/>
    <w:qFormat/>
    <w:rPr>
      <w:sz w:val="20"/>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rPr>
  </w:style>
  <w:style w:type="character" w:styleId="PlaceholderText">
    <w:name w:val="Placeholder Text"/>
    <w:basedOn w:val="DefaultParagraphFont"/>
    <w:uiPriority w:val="99"/>
    <w:semiHidden/>
    <w:qFormat/>
    <w:rPr>
      <w:color w:val="808080"/>
    </w:rPr>
  </w:style>
  <w:style w:type="character" w:customStyle="1" w:styleId="BodyTextChar">
    <w:name w:val="Body Text Char"/>
    <w:basedOn w:val="DefaultParagraphFont"/>
    <w:link w:val="BodyText"/>
    <w:qFormat/>
    <w:rPr>
      <w:rFonts w:ascii="Arial" w:eastAsiaTheme="minorHAnsi" w:hAnsi="Arial" w:cstheme="minorBidi"/>
      <w:sz w:val="20"/>
      <w:szCs w:val="20"/>
    </w:rPr>
  </w:style>
  <w:style w:type="character" w:customStyle="1" w:styleId="Level2Char">
    <w:name w:val="Level 2 Char"/>
    <w:link w:val="Level2"/>
    <w:qFormat/>
    <w:locked/>
  </w:style>
  <w:style w:type="character" w:styleId="CommentReference">
    <w:name w:val="annotation reference"/>
    <w:basedOn w:val="DefaultParagraphFont"/>
    <w:uiPriority w:val="99"/>
    <w:semiHidden/>
    <w:unhideWhenUsed/>
    <w:qFormat/>
    <w:rsid w:val="00240B18"/>
    <w:rPr>
      <w:sz w:val="16"/>
      <w:szCs w:val="16"/>
    </w:rPr>
  </w:style>
  <w:style w:type="character" w:customStyle="1" w:styleId="CommentTextChar">
    <w:name w:val="Comment Text Char"/>
    <w:basedOn w:val="DefaultParagraphFont"/>
    <w:link w:val="CommentText"/>
    <w:uiPriority w:val="99"/>
    <w:qFormat/>
    <w:rsid w:val="00240B18"/>
    <w:rPr>
      <w:sz w:val="20"/>
      <w:szCs w:val="20"/>
    </w:rPr>
  </w:style>
  <w:style w:type="character" w:customStyle="1" w:styleId="CommentSubjectChar">
    <w:name w:val="Comment Subject Char"/>
    <w:basedOn w:val="CommentTextChar"/>
    <w:link w:val="CommentSubject"/>
    <w:uiPriority w:val="99"/>
    <w:semiHidden/>
    <w:qFormat/>
    <w:rsid w:val="00240B18"/>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qFormat/>
    <w:rPr>
      <w:rFonts w:ascii="Arial" w:eastAsiaTheme="minorHAnsi" w:hAnsi="Arial" w:cstheme="minorBidi"/>
      <w:sz w:val="20"/>
      <w:szCs w:val="20"/>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Body">
    <w:name w:val="Body"/>
    <w:basedOn w:val="Normal"/>
    <w:qFormat/>
    <w:pPr>
      <w:numPr>
        <w:numId w:val="9"/>
      </w:numPr>
      <w:tabs>
        <w:tab w:val="left" w:pos="1843"/>
        <w:tab w:val="left" w:pos="3119"/>
        <w:tab w:val="left" w:pos="4253"/>
      </w:tabs>
    </w:pPr>
  </w:style>
  <w:style w:type="paragraph" w:customStyle="1" w:styleId="aDefinition">
    <w:name w:val="(a) Definition"/>
    <w:basedOn w:val="Body"/>
    <w:qFormat/>
    <w:pPr>
      <w:tabs>
        <w:tab w:val="clear" w:pos="1843"/>
        <w:tab w:val="clear" w:pos="3119"/>
        <w:tab w:val="clear" w:pos="4253"/>
      </w:tabs>
    </w:pPr>
  </w:style>
  <w:style w:type="paragraph" w:customStyle="1" w:styleId="abcdDefinition">
    <w:name w:val="(a) (b) (c) (d) Definition"/>
    <w:basedOn w:val="aDefinition"/>
    <w:qFormat/>
    <w:pPr>
      <w:numPr>
        <w:numId w:val="3"/>
      </w:numPr>
      <w:tabs>
        <w:tab w:val="left" w:pos="851"/>
      </w:tabs>
    </w:pPr>
  </w:style>
  <w:style w:type="paragraph" w:customStyle="1" w:styleId="Body1">
    <w:name w:val="Body 1"/>
    <w:basedOn w:val="Body"/>
    <w:qFormat/>
    <w:pPr>
      <w:tabs>
        <w:tab w:val="clear" w:pos="1843"/>
        <w:tab w:val="clear" w:pos="3119"/>
        <w:tab w:val="clear" w:pos="4253"/>
      </w:tabs>
      <w:ind w:left="624"/>
    </w:pPr>
  </w:style>
  <w:style w:type="paragraph" w:customStyle="1" w:styleId="Background">
    <w:name w:val="Background"/>
    <w:basedOn w:val="Body1"/>
    <w:qFormat/>
    <w:pPr>
      <w:numPr>
        <w:numId w:val="5"/>
      </w:numPr>
    </w:pPr>
  </w:style>
  <w:style w:type="paragraph" w:customStyle="1" w:styleId="Body2">
    <w:name w:val="Body 2"/>
    <w:basedOn w:val="Body1"/>
    <w:qFormat/>
  </w:style>
  <w:style w:type="paragraph" w:customStyle="1" w:styleId="Body3">
    <w:name w:val="Body 3"/>
    <w:basedOn w:val="Body2"/>
    <w:qFormat/>
    <w:pPr>
      <w:ind w:left="1361"/>
    </w:pPr>
  </w:style>
  <w:style w:type="paragraph" w:customStyle="1" w:styleId="Body4">
    <w:name w:val="Body 4"/>
    <w:basedOn w:val="Body3"/>
    <w:qFormat/>
    <w:pPr>
      <w:ind w:left="2039"/>
    </w:pPr>
  </w:style>
  <w:style w:type="paragraph" w:customStyle="1" w:styleId="Body5">
    <w:name w:val="Body 5"/>
    <w:basedOn w:val="Body3"/>
    <w:qFormat/>
    <w:pPr>
      <w:ind w:left="2723"/>
    </w:pPr>
  </w:style>
  <w:style w:type="paragraph" w:customStyle="1" w:styleId="Bullet1">
    <w:name w:val="Bullet 1"/>
    <w:basedOn w:val="Body1"/>
    <w:qFormat/>
    <w:pPr>
      <w:numPr>
        <w:numId w:val="6"/>
      </w:numPr>
    </w:pPr>
  </w:style>
  <w:style w:type="paragraph" w:customStyle="1" w:styleId="Bullet2">
    <w:name w:val="Bullet 2"/>
    <w:basedOn w:val="Body2"/>
    <w:qFormat/>
    <w:pPr>
      <w:numPr>
        <w:ilvl w:val="1"/>
        <w:numId w:val="6"/>
      </w:numPr>
    </w:pPr>
  </w:style>
  <w:style w:type="paragraph" w:customStyle="1" w:styleId="Bullet3">
    <w:name w:val="Bullet 3"/>
    <w:basedOn w:val="Body3"/>
    <w:qFormat/>
    <w:pPr>
      <w:numPr>
        <w:ilvl w:val="2"/>
        <w:numId w:val="6"/>
      </w:numPr>
    </w:pPr>
  </w:style>
  <w:style w:type="paragraph" w:customStyle="1" w:styleId="HeaderandFooter">
    <w:name w:val="Header and Footer"/>
    <w:basedOn w:val="Normal"/>
    <w:qFormat/>
  </w:style>
  <w:style w:type="paragraph" w:styleId="Footer">
    <w:name w:val="footer"/>
    <w:basedOn w:val="Normal"/>
    <w:link w:val="FooterChar"/>
    <w:pPr>
      <w:tabs>
        <w:tab w:val="right" w:pos="9072"/>
      </w:tabs>
      <w:spacing w:after="0"/>
    </w:pPr>
    <w:rPr>
      <w:sz w:val="20"/>
    </w:rPr>
  </w:style>
  <w:style w:type="paragraph" w:styleId="FootnoteText">
    <w:name w:val="footnote text"/>
    <w:basedOn w:val="Normal"/>
    <w:link w:val="FootnoteTextChar"/>
    <w:semiHidden/>
    <w:pPr>
      <w:tabs>
        <w:tab w:val="left" w:pos="360"/>
      </w:tabs>
      <w:spacing w:after="60"/>
      <w:ind w:left="360" w:hanging="360"/>
    </w:pPr>
    <w:rPr>
      <w:sz w:val="20"/>
      <w:szCs w:val="20"/>
    </w:rPr>
  </w:style>
  <w:style w:type="paragraph" w:styleId="Header">
    <w:name w:val="header"/>
    <w:basedOn w:val="Normal"/>
    <w:link w:val="HeaderChar"/>
    <w:pPr>
      <w:tabs>
        <w:tab w:val="center" w:pos="4536"/>
        <w:tab w:val="right" w:pos="9072"/>
      </w:tabs>
      <w:spacing w:after="0"/>
    </w:pPr>
    <w:rPr>
      <w:sz w:val="20"/>
    </w:rPr>
  </w:style>
  <w:style w:type="paragraph" w:customStyle="1" w:styleId="Level1">
    <w:name w:val="Level 1"/>
    <w:basedOn w:val="Body1"/>
    <w:qFormat/>
    <w:pPr>
      <w:numPr>
        <w:numId w:val="13"/>
      </w:numPr>
      <w:outlineLvl w:val="0"/>
    </w:pPr>
  </w:style>
  <w:style w:type="paragraph" w:customStyle="1" w:styleId="Level2">
    <w:name w:val="Level 2"/>
    <w:basedOn w:val="Body2"/>
    <w:link w:val="Level2Char"/>
    <w:qFormat/>
    <w:pPr>
      <w:numPr>
        <w:ilvl w:val="1"/>
        <w:numId w:val="13"/>
      </w:numPr>
      <w:outlineLvl w:val="1"/>
    </w:pPr>
  </w:style>
  <w:style w:type="paragraph" w:customStyle="1" w:styleId="Level3">
    <w:name w:val="Level 3"/>
    <w:basedOn w:val="Body3"/>
    <w:qFormat/>
    <w:pPr>
      <w:numPr>
        <w:ilvl w:val="2"/>
        <w:numId w:val="13"/>
      </w:numPr>
      <w:outlineLvl w:val="2"/>
    </w:pPr>
  </w:style>
  <w:style w:type="paragraph" w:customStyle="1" w:styleId="Level4">
    <w:name w:val="Level 4"/>
    <w:basedOn w:val="Body4"/>
    <w:qFormat/>
    <w:pPr>
      <w:numPr>
        <w:ilvl w:val="3"/>
        <w:numId w:val="13"/>
      </w:numPr>
      <w:outlineLvl w:val="3"/>
    </w:pPr>
  </w:style>
  <w:style w:type="paragraph" w:customStyle="1" w:styleId="Level5">
    <w:name w:val="Level 5"/>
    <w:basedOn w:val="Body5"/>
    <w:qFormat/>
    <w:pPr>
      <w:numPr>
        <w:ilvl w:val="4"/>
        <w:numId w:val="13"/>
      </w:numPr>
      <w:outlineLvl w:val="4"/>
    </w:pPr>
  </w:style>
  <w:style w:type="paragraph" w:customStyle="1" w:styleId="Parties">
    <w:name w:val="Parties"/>
    <w:basedOn w:val="Body1"/>
    <w:qFormat/>
    <w:pPr>
      <w:numPr>
        <w:numId w:val="7"/>
      </w:numPr>
    </w:pPr>
  </w:style>
  <w:style w:type="paragraph" w:customStyle="1" w:styleId="Rule5">
    <w:name w:val="Rule 5"/>
    <w:basedOn w:val="Body5"/>
    <w:semiHidden/>
    <w:qFormat/>
    <w:pPr>
      <w:numPr>
        <w:ilvl w:val="4"/>
        <w:numId w:val="2"/>
      </w:numPr>
    </w:pPr>
  </w:style>
  <w:style w:type="paragraph" w:customStyle="1" w:styleId="Schedule">
    <w:name w:val="Schedule"/>
    <w:basedOn w:val="Normal"/>
    <w:semiHidden/>
    <w:qFormat/>
    <w:pPr>
      <w:keepNext/>
      <w:numPr>
        <w:numId w:val="8"/>
      </w:numPr>
      <w:ind w:left="-567"/>
      <w:jc w:val="center"/>
    </w:pPr>
    <w:rPr>
      <w:b/>
      <w:caps/>
    </w:rPr>
  </w:style>
  <w:style w:type="paragraph" w:customStyle="1" w:styleId="ScheduleTitle">
    <w:name w:val="Schedule Title"/>
    <w:basedOn w:val="Body"/>
    <w:qFormat/>
    <w:pPr>
      <w:keepNext/>
      <w:tabs>
        <w:tab w:val="clear" w:pos="1843"/>
        <w:tab w:val="clear" w:pos="3119"/>
        <w:tab w:val="clear" w:pos="4253"/>
      </w:tabs>
      <w:spacing w:after="480"/>
      <w:jc w:val="center"/>
    </w:pPr>
    <w:rPr>
      <w:b/>
    </w:rPr>
  </w:style>
  <w:style w:type="paragraph" w:customStyle="1" w:styleId="aBankingDefinition">
    <w:name w:val="(a) Banking Definition"/>
    <w:basedOn w:val="Body"/>
    <w:qFormat/>
    <w:pPr>
      <w:numPr>
        <w:numId w:val="4"/>
      </w:numPr>
      <w:tabs>
        <w:tab w:val="clear" w:pos="3119"/>
        <w:tab w:val="clear" w:pos="4253"/>
      </w:tabs>
    </w:pPr>
  </w:style>
  <w:style w:type="paragraph" w:customStyle="1" w:styleId="Sideheading">
    <w:name w:val="Sideheading"/>
    <w:basedOn w:val="Body"/>
    <w:qFormat/>
    <w:pPr>
      <w:tabs>
        <w:tab w:val="clear" w:pos="1843"/>
        <w:tab w:val="clear" w:pos="3119"/>
        <w:tab w:val="clear" w:pos="4253"/>
      </w:tabs>
    </w:pPr>
    <w:rPr>
      <w:b/>
      <w:caps/>
    </w:rPr>
  </w:style>
  <w:style w:type="paragraph" w:customStyle="1" w:styleId="iBankingDefinition">
    <w:name w:val="(i) Banking Definition"/>
    <w:basedOn w:val="aBankingDefinition"/>
    <w:qFormat/>
    <w:pPr>
      <w:tabs>
        <w:tab w:val="clear" w:pos="1843"/>
      </w:tabs>
    </w:pPr>
  </w:style>
  <w:style w:type="paragraph" w:styleId="TOC1">
    <w:name w:val="toc 1"/>
    <w:basedOn w:val="Body"/>
    <w:next w:val="Normal"/>
    <w:uiPriority w:val="39"/>
    <w:pPr>
      <w:numPr>
        <w:numId w:val="0"/>
      </w:numPr>
      <w:tabs>
        <w:tab w:val="clear" w:pos="1843"/>
        <w:tab w:val="clear" w:pos="3119"/>
        <w:tab w:val="clear" w:pos="4253"/>
        <w:tab w:val="right" w:leader="dot" w:pos="9066"/>
      </w:tabs>
      <w:spacing w:after="60"/>
      <w:ind w:left="851" w:right="851" w:hanging="851"/>
    </w:pPr>
    <w:rPr>
      <w:caps/>
    </w:rPr>
  </w:style>
  <w:style w:type="paragraph" w:styleId="TOC2">
    <w:name w:val="toc 2"/>
    <w:basedOn w:val="TOC1"/>
    <w:next w:val="Normal"/>
    <w:uiPriority w:val="39"/>
    <w:pPr>
      <w:tabs>
        <w:tab w:val="left" w:pos="1680"/>
      </w:tabs>
      <w:ind w:left="1679" w:hanging="828"/>
    </w:pPr>
    <w:rPr>
      <w:caps w:val="0"/>
    </w:rPr>
  </w:style>
  <w:style w:type="paragraph" w:styleId="TOC3">
    <w:name w:val="toc 3"/>
    <w:basedOn w:val="TOC1"/>
    <w:next w:val="Normal"/>
    <w:rPr>
      <w:caps w:val="0"/>
    </w:rPr>
  </w:style>
  <w:style w:type="paragraph" w:styleId="TOC4">
    <w:name w:val="toc 4"/>
    <w:basedOn w:val="TOC1"/>
    <w:next w:val="Normal"/>
    <w:pPr>
      <w:keepNext/>
    </w:pPr>
    <w:rPr>
      <w:b/>
      <w:caps w:val="0"/>
    </w:rPr>
  </w:style>
  <w:style w:type="paragraph" w:styleId="TOC5">
    <w:name w:val="toc 5"/>
    <w:basedOn w:val="TOC1"/>
    <w:next w:val="Normal"/>
    <w:semiHidden/>
    <w:pPr>
      <w:ind w:firstLine="0"/>
    </w:pPr>
    <w:rPr>
      <w:caps w:val="0"/>
    </w:rPr>
  </w:style>
  <w:style w:type="paragraph" w:styleId="TOC6">
    <w:name w:val="toc 6"/>
    <w:basedOn w:val="TOC1"/>
    <w:next w:val="Normal"/>
    <w:semiHidden/>
    <w:pPr>
      <w:ind w:left="2835" w:hanging="1134"/>
    </w:pPr>
    <w:rPr>
      <w:caps w:val="0"/>
    </w:rPr>
  </w:style>
  <w:style w:type="paragraph" w:customStyle="1" w:styleId="FootnoteTextContinuation">
    <w:name w:val="Footnote Text Continuation"/>
    <w:basedOn w:val="FootnoteText"/>
    <w:qFormat/>
    <w:pPr>
      <w:ind w:firstLine="0"/>
    </w:pPr>
  </w:style>
  <w:style w:type="paragraph" w:customStyle="1" w:styleId="Part">
    <w:name w:val="Part"/>
    <w:basedOn w:val="Normal"/>
    <w:qFormat/>
    <w:pPr>
      <w:numPr>
        <w:numId w:val="11"/>
      </w:numPr>
    </w:pPr>
    <w:rPr>
      <w:b/>
    </w:rPr>
  </w:style>
  <w:style w:type="paragraph" w:customStyle="1" w:styleId="iDefinition">
    <w:name w:val="(i) Definition"/>
    <w:basedOn w:val="Body"/>
    <w:qFormat/>
    <w:pPr>
      <w:tabs>
        <w:tab w:val="clear" w:pos="3119"/>
        <w:tab w:val="clear" w:pos="4253"/>
      </w:tabs>
    </w:pPr>
  </w:style>
  <w:style w:type="paragraph" w:customStyle="1" w:styleId="Contentheading">
    <w:name w:val="Content heading"/>
    <w:basedOn w:val="Normal"/>
    <w:next w:val="Body"/>
    <w:qFormat/>
    <w:pPr>
      <w:pageBreakBefore/>
      <w:pBdr>
        <w:bottom w:val="single" w:sz="4" w:space="1" w:color="000000"/>
      </w:pBdr>
      <w:spacing w:after="2200"/>
    </w:pPr>
    <w:rPr>
      <w:sz w:val="40"/>
      <w:szCs w:val="40"/>
    </w:rPr>
  </w:style>
  <w:style w:type="paragraph" w:customStyle="1" w:styleId="Contentpage">
    <w:name w:val="Content page"/>
    <w:basedOn w:val="Body"/>
    <w:qFormat/>
    <w:pPr>
      <w:tabs>
        <w:tab w:val="clear" w:pos="1843"/>
        <w:tab w:val="clear" w:pos="3119"/>
        <w:tab w:val="clear" w:pos="4253"/>
        <w:tab w:val="right" w:pos="9072"/>
      </w:tabs>
    </w:pPr>
    <w:rPr>
      <w:b/>
    </w:rPr>
  </w:style>
  <w:style w:type="paragraph" w:customStyle="1" w:styleId="ExtraInfo">
    <w:name w:val="ExtraInfo"/>
    <w:basedOn w:val="Normal"/>
    <w:qFormat/>
    <w:pPr>
      <w:shd w:val="clear" w:color="auto" w:fill="FFFFFF"/>
    </w:pPr>
    <w:rPr>
      <w:sz w:val="20"/>
      <w:szCs w:val="20"/>
    </w:rPr>
  </w:style>
  <w:style w:type="paragraph" w:styleId="ListParagraph">
    <w:name w:val="List Paragraph"/>
    <w:basedOn w:val="Normal"/>
    <w:uiPriority w:val="34"/>
    <w:qFormat/>
    <w:pPr>
      <w:ind w:left="720"/>
      <w:contextualSpacing/>
    </w:pPr>
  </w:style>
  <w:style w:type="paragraph" w:customStyle="1" w:styleId="Level6">
    <w:name w:val="Level 6"/>
    <w:basedOn w:val="Level5"/>
    <w:qFormat/>
    <w:pPr>
      <w:outlineLvl w:val="5"/>
    </w:pPr>
  </w:style>
  <w:style w:type="paragraph" w:customStyle="1" w:styleId="Level7">
    <w:name w:val="Level 7"/>
    <w:basedOn w:val="Normal"/>
    <w:qFormat/>
    <w:pPr>
      <w:numPr>
        <w:ilvl w:val="6"/>
        <w:numId w:val="13"/>
      </w:numPr>
      <w:outlineLvl w:val="6"/>
    </w:pPr>
  </w:style>
  <w:style w:type="paragraph" w:customStyle="1" w:styleId="Body6">
    <w:name w:val="Body 6"/>
    <w:basedOn w:val="Body5"/>
    <w:qFormat/>
    <w:pPr>
      <w:ind w:left="3403"/>
    </w:pPr>
  </w:style>
  <w:style w:type="paragraph" w:customStyle="1" w:styleId="Body7">
    <w:name w:val="Body 7"/>
    <w:basedOn w:val="Body6"/>
    <w:qFormat/>
    <w:pPr>
      <w:ind w:left="4083"/>
    </w:pPr>
  </w:style>
  <w:style w:type="paragraph" w:customStyle="1" w:styleId="PartBanking">
    <w:name w:val="Part (Banking)"/>
    <w:basedOn w:val="Body"/>
    <w:qFormat/>
    <w:pPr>
      <w:numPr>
        <w:numId w:val="10"/>
      </w:numPr>
      <w:tabs>
        <w:tab w:val="left" w:pos="1134"/>
      </w:tabs>
      <w:jc w:val="center"/>
    </w:pPr>
    <w:rPr>
      <w:b/>
    </w:rPr>
  </w:style>
  <w:style w:type="paragraph" w:customStyle="1" w:styleId="Section">
    <w:name w:val="Section"/>
    <w:basedOn w:val="Body"/>
    <w:next w:val="Body"/>
    <w:qFormat/>
    <w:pPr>
      <w:numPr>
        <w:numId w:val="12"/>
      </w:numPr>
      <w:jc w:val="center"/>
    </w:pPr>
    <w:rPr>
      <w:b/>
    </w:rPr>
  </w:style>
  <w:style w:type="paragraph" w:styleId="Title">
    <w:name w:val="Title"/>
    <w:basedOn w:val="Body"/>
    <w:next w:val="Body"/>
    <w:qFormat/>
    <w:pPr>
      <w:keepNext/>
      <w:numPr>
        <w:numId w:val="0"/>
      </w:numPr>
      <w:tabs>
        <w:tab w:val="clear" w:pos="1843"/>
        <w:tab w:val="clear" w:pos="3119"/>
        <w:tab w:val="clear" w:pos="4253"/>
      </w:tabs>
      <w:spacing w:after="480"/>
      <w:jc w:val="center"/>
    </w:pPr>
    <w:rPr>
      <w:b/>
      <w:sz w:val="32"/>
      <w:szCs w:val="32"/>
    </w:rPr>
  </w:style>
  <w:style w:type="paragraph" w:styleId="CommentText">
    <w:name w:val="annotation text"/>
    <w:basedOn w:val="Normal"/>
    <w:link w:val="CommentTextChar"/>
    <w:uiPriority w:val="99"/>
    <w:unhideWhenUsed/>
    <w:rsid w:val="00240B18"/>
    <w:rPr>
      <w:sz w:val="20"/>
      <w:szCs w:val="20"/>
    </w:rPr>
  </w:style>
  <w:style w:type="paragraph" w:styleId="CommentSubject">
    <w:name w:val="annotation subject"/>
    <w:basedOn w:val="CommentText"/>
    <w:next w:val="CommentText"/>
    <w:link w:val="CommentSubjectChar"/>
    <w:uiPriority w:val="99"/>
    <w:semiHidden/>
    <w:unhideWhenUsed/>
    <w:qFormat/>
    <w:rsid w:val="00240B18"/>
    <w:rPr>
      <w:b/>
      <w:bCs/>
    </w:rPr>
  </w:style>
  <w:style w:type="paragraph" w:styleId="Revision">
    <w:name w:val="Revision"/>
    <w:hidden/>
    <w:uiPriority w:val="99"/>
    <w:semiHidden/>
    <w:rsid w:val="004472FD"/>
    <w:pPr>
      <w:suppressAutoHyphens w:val="0"/>
    </w:pPr>
  </w:style>
  <w:style w:type="character" w:styleId="Strong">
    <w:name w:val="Strong"/>
    <w:basedOn w:val="DefaultParagraphFont"/>
    <w:uiPriority w:val="22"/>
    <w:qFormat/>
    <w:rsid w:val="00417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738AF46C62F87468CD75A32671D3B52" ma:contentTypeVersion="12" ma:contentTypeDescription="Създаване на нов документ" ma:contentTypeScope="" ma:versionID="212fb14ef5a953950ed829d96c207915">
  <xsd:schema xmlns:xsd="http://www.w3.org/2001/XMLSchema" xmlns:xs="http://www.w3.org/2001/XMLSchema" xmlns:p="http://schemas.microsoft.com/office/2006/metadata/properties" xmlns:ns2="fe883f35-7d40-4eea-a2f2-ce9f5b26eb70" xmlns:ns3="fe267b32-f959-4518-82e5-a98f9028721d" targetNamespace="http://schemas.microsoft.com/office/2006/metadata/properties" ma:root="true" ma:fieldsID="f0c0da61dab81e5bb62ad95c1dad2cd0" ns2:_="" ns3:_="">
    <xsd:import namespace="fe883f35-7d40-4eea-a2f2-ce9f5b26eb70"/>
    <xsd:import namespace="fe267b32-f959-4518-82e5-a98f902872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83f35-7d40-4eea-a2f2-ce9f5b26e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3406fc3d-8095-4a30-a894-8eab93b18a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267b32-f959-4518-82e5-a98f902872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d2d3374-d2d4-4756-9f28-7ba3c516e2dd}" ma:internalName="TaxCatchAll" ma:showField="CatchAllData" ma:web="fe267b32-f959-4518-82e5-a98f902872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267b32-f959-4518-82e5-a98f9028721d" xsi:nil="true"/>
    <lcf76f155ced4ddcb4097134ff3c332f xmlns="fe883f35-7d40-4eea-a2f2-ce9f5b26eb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A9C-26B7-470D-B28F-40CF8BD7BDD4}">
  <ds:schemaRefs>
    <ds:schemaRef ds:uri="http://schemas.microsoft.com/sharepoint/v3/contenttype/forms"/>
  </ds:schemaRefs>
</ds:datastoreItem>
</file>

<file path=customXml/itemProps2.xml><?xml version="1.0" encoding="utf-8"?>
<ds:datastoreItem xmlns:ds="http://schemas.openxmlformats.org/officeDocument/2006/customXml" ds:itemID="{E5AEDF29-36E4-45C0-8BE8-78145CC030E4}"/>
</file>

<file path=customXml/itemProps3.xml><?xml version="1.0" encoding="utf-8"?>
<ds:datastoreItem xmlns:ds="http://schemas.openxmlformats.org/officeDocument/2006/customXml" ds:itemID="{B03FA9E6-8EEE-4C1F-98D7-1B78AFA302F6}">
  <ds:schemaRefs>
    <ds:schemaRef ds:uri="http://schemas.microsoft.com/office/2006/metadata/properties"/>
    <ds:schemaRef ds:uri="http://schemas.microsoft.com/office/infopath/2007/PartnerControls"/>
    <ds:schemaRef ds:uri="fe267b32-f959-4518-82e5-a98f9028721d"/>
    <ds:schemaRef ds:uri="fe883f35-7d40-4eea-a2f2-ce9f5b26eb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5337</Words>
  <Characters>30427</Characters>
  <Application>Microsoft Office Word</Application>
  <DocSecurity>0</DocSecurity>
  <Lines>253</Lines>
  <Paragraphs>71</Paragraphs>
  <ScaleCrop>false</ScaleCrop>
  <Company/>
  <LinksUpToDate>false</LinksUpToDate>
  <CharactersWithSpaces>35693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Darina Stancheva</dc:creator>
  <dc:description/>
  <cp:lastModifiedBy>Viktoria Penkova</cp:lastModifiedBy>
  <cp:revision>2</cp:revision>
  <dcterms:created xsi:type="dcterms:W3CDTF">2026-10-17T12:33:00Z</dcterms:created>
  <dcterms:modified xsi:type="dcterms:W3CDTF">2026-10-17T12:33:00Z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0x0101008738AF46C62F87468CD75A32671D3B52</vt:lpwstr>
  </property>
  <property fmtid="{D5CDD505-2E9C-101B-9397-08002B2CF9AE}" pid="3" name="MediaServiceImageTags">
    <vt:lpwstr/>
  </property>
</Properties>
</file>